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B2" w:rsidRPr="00772D67" w:rsidRDefault="001934B2" w:rsidP="001934B2">
      <w:pPr>
        <w:pStyle w:val="ListParagraph"/>
        <w:numPr>
          <w:ilvl w:val="0"/>
          <w:numId w:val="7"/>
        </w:numPr>
        <w:rPr>
          <w:rFonts w:asciiTheme="majorHAnsi" w:hAnsiTheme="majorHAnsi" w:cs="Arial"/>
          <w:b/>
          <w:sz w:val="24"/>
          <w:szCs w:val="24"/>
        </w:rPr>
      </w:pPr>
      <w:r w:rsidRPr="00772D67">
        <w:rPr>
          <w:rFonts w:asciiTheme="majorHAnsi" w:hAnsiTheme="majorHAnsi" w:cs="Arial"/>
          <w:b/>
          <w:sz w:val="24"/>
          <w:szCs w:val="24"/>
        </w:rPr>
        <w:t>Models and Forecasting</w:t>
      </w:r>
      <w:bookmarkStart w:id="0" w:name="_GoBack"/>
      <w:bookmarkEnd w:id="0"/>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 xml:space="preserve">4.1 </w:t>
      </w:r>
      <w:r w:rsidRPr="00772D67">
        <w:rPr>
          <w:rFonts w:asciiTheme="majorHAnsi" w:hAnsiTheme="majorHAnsi" w:cs="Arial"/>
          <w:sz w:val="24"/>
          <w:szCs w:val="24"/>
        </w:rPr>
        <w:tab/>
        <w:t>Models</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4.1.1</w:t>
      </w:r>
      <w:r w:rsidRPr="00772D67">
        <w:rPr>
          <w:rFonts w:asciiTheme="majorHAnsi" w:hAnsiTheme="majorHAnsi" w:cs="Arial"/>
          <w:sz w:val="24"/>
          <w:szCs w:val="24"/>
        </w:rPr>
        <w:tab/>
        <w:t>Operational Global Models</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Standard operational global models (GFS, ECMWF, UK Unified Model) will be used in support of DEEPWAVE forecasting activities.  The attributes of these operational global models are provided in Table 4.1.  It should be noted that the ECMWF IFS model products, supplied by DLR, were used frequently during the DEEPWAVE dry run because of that model’s high top (80 km or 0.01 </w:t>
      </w:r>
      <w:proofErr w:type="spellStart"/>
      <w:r w:rsidRPr="00772D67">
        <w:rPr>
          <w:rFonts w:asciiTheme="majorHAnsi" w:hAnsiTheme="majorHAnsi" w:cs="Arial"/>
          <w:sz w:val="24"/>
          <w:szCs w:val="24"/>
        </w:rPr>
        <w:t>hPa</w:t>
      </w:r>
      <w:proofErr w:type="spellEnd"/>
      <w:r w:rsidRPr="00772D67">
        <w:rPr>
          <w:rFonts w:asciiTheme="majorHAnsi" w:hAnsiTheme="majorHAnsi" w:cs="Arial"/>
          <w:sz w:val="24"/>
          <w:szCs w:val="24"/>
        </w:rPr>
        <w:t xml:space="preserve">), and the fact that it is the most skillful medium range forecast model, particularly in the S. Hemisphere.  Standard graphical products for the global models are shown in Table 4.2.  </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4.1.2</w:t>
      </w:r>
      <w:r w:rsidRPr="00772D67">
        <w:rPr>
          <w:rFonts w:asciiTheme="majorHAnsi" w:hAnsiTheme="majorHAnsi" w:cs="Arial"/>
          <w:sz w:val="24"/>
          <w:szCs w:val="24"/>
        </w:rPr>
        <w:tab/>
        <w:t>Operational and Real-Time Research Mesoscale Models</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A number of high-resolution mesoscale models will be run in real time to support DEEPWAVE forecasting.  The basic characteristics of these models are summarized in Table 1.  Several regional models provide coverage over New Zealand, the Tasman Sea, Tasmania and a portion of the Southern Ocean (COAMPS and NZLAM using 15 and 12 km horizontal grid increments, respectively).  High resolution models including WRF (6 km resolution), COSMO (2.8 km resolution), and NZCSM (1.5 km resolution) will focus more on New Zealand and will be particularly useful for planning missions over the S. Island.  These mesoscale models are typically run for 36-h to 48-h durations, with the 6-km resolution WRF and the 12-km resolution NZLAM run out to 72 h.  </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4.1.3</w:t>
      </w:r>
      <w:r w:rsidRPr="00772D67">
        <w:rPr>
          <w:rFonts w:asciiTheme="majorHAnsi" w:hAnsiTheme="majorHAnsi" w:cs="Arial"/>
          <w:sz w:val="24"/>
          <w:szCs w:val="24"/>
        </w:rPr>
        <w:tab/>
        <w:t xml:space="preserve">Real-Time </w:t>
      </w:r>
      <w:proofErr w:type="spellStart"/>
      <w:r w:rsidRPr="00772D67">
        <w:rPr>
          <w:rFonts w:asciiTheme="majorHAnsi" w:hAnsiTheme="majorHAnsi" w:cs="Arial"/>
          <w:sz w:val="24"/>
          <w:szCs w:val="24"/>
        </w:rPr>
        <w:t>Adjoint</w:t>
      </w:r>
      <w:proofErr w:type="spellEnd"/>
      <w:r w:rsidRPr="00772D67">
        <w:rPr>
          <w:rFonts w:asciiTheme="majorHAnsi" w:hAnsiTheme="majorHAnsi" w:cs="Arial"/>
          <w:sz w:val="24"/>
          <w:szCs w:val="24"/>
        </w:rPr>
        <w:t xml:space="preserve"> Model</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An </w:t>
      </w:r>
      <w:proofErr w:type="spellStart"/>
      <w:r w:rsidRPr="00772D67">
        <w:rPr>
          <w:rFonts w:asciiTheme="majorHAnsi" w:hAnsiTheme="majorHAnsi" w:cs="Arial"/>
          <w:sz w:val="24"/>
          <w:szCs w:val="24"/>
        </w:rPr>
        <w:t>adjoint</w:t>
      </w:r>
      <w:proofErr w:type="spellEnd"/>
      <w:r w:rsidRPr="00772D67">
        <w:rPr>
          <w:rFonts w:asciiTheme="majorHAnsi" w:hAnsiTheme="majorHAnsi" w:cs="Arial"/>
          <w:sz w:val="24"/>
          <w:szCs w:val="24"/>
        </w:rPr>
        <w:t xml:space="preserve"> modeling system based on COAMPS will be run at ~35 km horizontal resolution.  The </w:t>
      </w:r>
      <w:proofErr w:type="spellStart"/>
      <w:r w:rsidRPr="00772D67">
        <w:rPr>
          <w:rFonts w:asciiTheme="majorHAnsi" w:hAnsiTheme="majorHAnsi" w:cs="Arial"/>
          <w:sz w:val="24"/>
          <w:szCs w:val="24"/>
        </w:rPr>
        <w:t>adjoint</w:t>
      </w:r>
      <w:proofErr w:type="spellEnd"/>
      <w:r w:rsidRPr="00772D67">
        <w:rPr>
          <w:rFonts w:asciiTheme="majorHAnsi" w:hAnsiTheme="majorHAnsi" w:cs="Arial"/>
          <w:sz w:val="24"/>
          <w:szCs w:val="24"/>
        </w:rPr>
        <w:t xml:space="preserve"> system will provide initial condition sensitivity computed for a 24-h forecast and based on 36-h and 48-h lead times (from two separate runs).  Thus, the sensitivity calculations will be valid at 36-h and 48-h times in the future from the two runs to allow sufficient time for the G-V mission to be planned and executed.  The metric or response function is based on the winds in a box surrounding the S. Island for the lowest 1 km above the ground at the final forecast time (24 h integration plus the lead time, so the total forecast time is either 60-h or 72-h).  These calculations indicate the regions over which the model forecast kinetic energy at the final time (60-h or 72-h) is most sensitive to changes in the initial state (or in this case the lead time at 36 h or 48 h).  The goal is to deploy </w:t>
      </w:r>
      <w:proofErr w:type="spellStart"/>
      <w:r w:rsidRPr="00772D67">
        <w:rPr>
          <w:rFonts w:asciiTheme="majorHAnsi" w:hAnsiTheme="majorHAnsi" w:cs="Arial"/>
          <w:sz w:val="24"/>
          <w:szCs w:val="24"/>
        </w:rPr>
        <w:t>dropswindsondes</w:t>
      </w:r>
      <w:proofErr w:type="spellEnd"/>
      <w:r w:rsidRPr="00772D67">
        <w:rPr>
          <w:rFonts w:asciiTheme="majorHAnsi" w:hAnsiTheme="majorHAnsi" w:cs="Arial"/>
          <w:sz w:val="24"/>
          <w:szCs w:val="24"/>
        </w:rPr>
        <w:t xml:space="preserve"> from the G-V over regions where the sensitivity is the largest, in order to improve the forecasts of the low-level winds impinging on the S. Alps and mountain wave launching.  </w:t>
      </w:r>
    </w:p>
    <w:p w:rsidR="001934B2" w:rsidRPr="00772D67" w:rsidRDefault="001934B2" w:rsidP="001934B2">
      <w:pPr>
        <w:rPr>
          <w:rFonts w:asciiTheme="majorHAnsi" w:hAnsiTheme="majorHAnsi" w:cs="Arial"/>
          <w:sz w:val="24"/>
          <w:szCs w:val="24"/>
        </w:rPr>
      </w:pP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4.1.4</w:t>
      </w:r>
      <w:r w:rsidRPr="00772D67">
        <w:rPr>
          <w:rFonts w:asciiTheme="majorHAnsi" w:hAnsiTheme="majorHAnsi" w:cs="Arial"/>
          <w:sz w:val="24"/>
          <w:szCs w:val="24"/>
        </w:rPr>
        <w:tab/>
        <w:t>Real-Time Linear Model</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Linear mountain wave models also will be run to support DEEPWAVE mission planning.  One possible candidate is a ray tracing model that provides forecasts of the linear response to flow over the South Island.  These models could be particularly useful for linear wave forecasts for Auckland and Macquarie Islands, since the topography is relatively low (~700 m).  </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 xml:space="preserve">Table 4.1.  </w:t>
      </w:r>
      <w:proofErr w:type="gramStart"/>
      <w:r w:rsidRPr="00772D67">
        <w:rPr>
          <w:rFonts w:asciiTheme="majorHAnsi" w:hAnsiTheme="majorHAnsi" w:cs="Arial"/>
          <w:sz w:val="24"/>
          <w:szCs w:val="24"/>
        </w:rPr>
        <w:t>Overview of the characteristics of the global and mesoscale models that will be used for forecasting during DEEPWAVE.</w:t>
      </w:r>
      <w:proofErr w:type="gramEnd"/>
    </w:p>
    <w:tbl>
      <w:tblPr>
        <w:tblW w:w="8773" w:type="dxa"/>
        <w:tblInd w:w="450" w:type="dxa"/>
        <w:tblCellMar>
          <w:left w:w="0" w:type="dxa"/>
          <w:right w:w="0" w:type="dxa"/>
        </w:tblCellMar>
        <w:tblLook w:val="0420"/>
      </w:tblPr>
      <w:tblGrid>
        <w:gridCol w:w="1071"/>
        <w:gridCol w:w="833"/>
        <w:gridCol w:w="799"/>
        <w:gridCol w:w="1099"/>
        <w:gridCol w:w="966"/>
        <w:gridCol w:w="979"/>
        <w:gridCol w:w="843"/>
        <w:gridCol w:w="751"/>
        <w:gridCol w:w="1432"/>
      </w:tblGrid>
      <w:tr w:rsidR="001934B2" w:rsidRPr="00772D67" w:rsidTr="00171A01">
        <w:trPr>
          <w:trHeight w:val="254"/>
        </w:trPr>
        <w:tc>
          <w:tcPr>
            <w:tcW w:w="10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Model</w:t>
            </w:r>
          </w:p>
        </w:tc>
        <w:tc>
          <w:tcPr>
            <w:tcW w:w="83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Type</w:t>
            </w:r>
          </w:p>
        </w:tc>
        <w:tc>
          <w:tcPr>
            <w:tcW w:w="7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Org.</w:t>
            </w:r>
          </w:p>
        </w:tc>
        <w:tc>
          <w:tcPr>
            <w:tcW w:w="10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Horizontal Res.</w:t>
            </w:r>
          </w:p>
        </w:tc>
        <w:tc>
          <w:tcPr>
            <w:tcW w:w="96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Vertical Levels</w:t>
            </w:r>
          </w:p>
        </w:tc>
        <w:tc>
          <w:tcPr>
            <w:tcW w:w="9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Top</w:t>
            </w:r>
          </w:p>
        </w:tc>
        <w:tc>
          <w:tcPr>
            <w:tcW w:w="84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bCs/>
                <w:color w:val="FFFFFF"/>
                <w:kern w:val="24"/>
                <w:sz w:val="18"/>
                <w:szCs w:val="18"/>
              </w:rPr>
              <w:t>Fcst</w:t>
            </w:r>
            <w:proofErr w:type="spellEnd"/>
            <w:r w:rsidRPr="00772D67">
              <w:rPr>
                <w:rFonts w:asciiTheme="majorHAnsi" w:eastAsia="Times New Roman" w:hAnsiTheme="majorHAnsi" w:cs="Arial"/>
                <w:bCs/>
                <w:color w:val="FFFFFF"/>
                <w:kern w:val="24"/>
                <w:sz w:val="18"/>
                <w:szCs w:val="18"/>
              </w:rPr>
              <w:t xml:space="preserve"> Length</w:t>
            </w:r>
          </w:p>
        </w:tc>
        <w:tc>
          <w:tcPr>
            <w:tcW w:w="7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Freq.</w:t>
            </w:r>
          </w:p>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/day</w:t>
            </w:r>
          </w:p>
        </w:tc>
        <w:tc>
          <w:tcPr>
            <w:tcW w:w="143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bCs/>
                <w:color w:val="FFFFFF"/>
                <w:kern w:val="24"/>
                <w:sz w:val="18"/>
                <w:szCs w:val="18"/>
              </w:rPr>
              <w:t>Purpose</w:t>
            </w:r>
          </w:p>
        </w:tc>
      </w:tr>
      <w:tr w:rsidR="001934B2" w:rsidRPr="00772D67" w:rsidTr="00171A01">
        <w:trPr>
          <w:trHeight w:val="254"/>
        </w:trPr>
        <w:tc>
          <w:tcPr>
            <w:tcW w:w="10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GFS</w:t>
            </w:r>
          </w:p>
        </w:tc>
        <w:tc>
          <w:tcPr>
            <w:tcW w:w="83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Global</w:t>
            </w:r>
          </w:p>
        </w:tc>
        <w:tc>
          <w:tcPr>
            <w:tcW w:w="7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color w:val="002060"/>
                <w:kern w:val="24"/>
                <w:sz w:val="18"/>
                <w:szCs w:val="18"/>
              </w:rPr>
            </w:pPr>
            <w:r w:rsidRPr="00772D67">
              <w:rPr>
                <w:rFonts w:asciiTheme="majorHAnsi" w:eastAsia="Times New Roman" w:hAnsiTheme="majorHAnsi" w:cs="Arial"/>
                <w:color w:val="002060"/>
                <w:kern w:val="24"/>
                <w:sz w:val="18"/>
                <w:szCs w:val="18"/>
              </w:rPr>
              <w:t>NCAR</w:t>
            </w:r>
          </w:p>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EOL</w:t>
            </w:r>
          </w:p>
        </w:tc>
        <w:tc>
          <w:tcPr>
            <w:tcW w:w="10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27km</w:t>
            </w:r>
          </w:p>
        </w:tc>
        <w:tc>
          <w:tcPr>
            <w:tcW w:w="96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64</w:t>
            </w:r>
          </w:p>
        </w:tc>
        <w:tc>
          <w:tcPr>
            <w:tcW w:w="9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~50km</w:t>
            </w:r>
          </w:p>
        </w:tc>
        <w:tc>
          <w:tcPr>
            <w:tcW w:w="84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240 h</w:t>
            </w:r>
          </w:p>
        </w:tc>
        <w:tc>
          <w:tcPr>
            <w:tcW w:w="75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4x</w:t>
            </w:r>
          </w:p>
        </w:tc>
        <w:tc>
          <w:tcPr>
            <w:tcW w:w="143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Medium range</w:t>
            </w:r>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IFS</w:t>
            </w: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Global</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DLR</w:t>
            </w:r>
          </w:p>
        </w:tc>
        <w:tc>
          <w:tcPr>
            <w:tcW w:w="10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16km</w:t>
            </w:r>
          </w:p>
        </w:tc>
        <w:tc>
          <w:tcPr>
            <w:tcW w:w="9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137</w:t>
            </w:r>
          </w:p>
        </w:tc>
        <w:tc>
          <w:tcPr>
            <w:tcW w:w="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80km 0.01hPA</w:t>
            </w:r>
          </w:p>
        </w:tc>
        <w:tc>
          <w:tcPr>
            <w:tcW w:w="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240 h</w:t>
            </w:r>
          </w:p>
        </w:tc>
        <w:tc>
          <w:tcPr>
            <w:tcW w:w="7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4x</w:t>
            </w:r>
          </w:p>
        </w:tc>
        <w:tc>
          <w:tcPr>
            <w:tcW w:w="143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Medium range high alt GWs</w:t>
            </w:r>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UM</w:t>
            </w: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Global</w:t>
            </w:r>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NIWA</w:t>
            </w:r>
          </w:p>
        </w:tc>
        <w:tc>
          <w:tcPr>
            <w:tcW w:w="10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17km</w:t>
            </w:r>
          </w:p>
        </w:tc>
        <w:tc>
          <w:tcPr>
            <w:tcW w:w="9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70</w:t>
            </w:r>
          </w:p>
        </w:tc>
        <w:tc>
          <w:tcPr>
            <w:tcW w:w="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80 km</w:t>
            </w:r>
          </w:p>
        </w:tc>
        <w:tc>
          <w:tcPr>
            <w:tcW w:w="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144 h</w:t>
            </w:r>
          </w:p>
        </w:tc>
        <w:tc>
          <w:tcPr>
            <w:tcW w:w="7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4x</w:t>
            </w:r>
          </w:p>
        </w:tc>
        <w:tc>
          <w:tcPr>
            <w:tcW w:w="143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Medium range high alt GWs</w:t>
            </w:r>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NZLAM</w:t>
            </w:r>
          </w:p>
        </w:tc>
        <w:tc>
          <w:tcPr>
            <w:tcW w:w="83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2060"/>
                <w:kern w:val="24"/>
                <w:sz w:val="18"/>
                <w:szCs w:val="18"/>
              </w:rPr>
              <w:t>Meso</w:t>
            </w:r>
            <w:proofErr w:type="spellEnd"/>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NIWA</w:t>
            </w:r>
          </w:p>
        </w:tc>
        <w:tc>
          <w:tcPr>
            <w:tcW w:w="10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12km</w:t>
            </w:r>
          </w:p>
        </w:tc>
        <w:tc>
          <w:tcPr>
            <w:tcW w:w="9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70</w:t>
            </w:r>
          </w:p>
        </w:tc>
        <w:tc>
          <w:tcPr>
            <w:tcW w:w="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80 km</w:t>
            </w:r>
          </w:p>
        </w:tc>
        <w:tc>
          <w:tcPr>
            <w:tcW w:w="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72 h</w:t>
            </w:r>
          </w:p>
        </w:tc>
        <w:tc>
          <w:tcPr>
            <w:tcW w:w="7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4x</w:t>
            </w:r>
          </w:p>
        </w:tc>
        <w:tc>
          <w:tcPr>
            <w:tcW w:w="143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GWs, </w:t>
            </w:r>
            <w:proofErr w:type="spellStart"/>
            <w:r w:rsidRPr="00772D67">
              <w:rPr>
                <w:rFonts w:asciiTheme="majorHAnsi" w:eastAsia="Times New Roman" w:hAnsiTheme="majorHAnsi" w:cs="Arial"/>
                <w:color w:val="002060"/>
                <w:kern w:val="24"/>
                <w:sz w:val="18"/>
                <w:szCs w:val="18"/>
              </w:rPr>
              <w:t>meso</w:t>
            </w:r>
            <w:proofErr w:type="spellEnd"/>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NZCSM</w:t>
            </w: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2060"/>
                <w:kern w:val="24"/>
                <w:sz w:val="18"/>
                <w:szCs w:val="18"/>
              </w:rPr>
              <w:t>Meso</w:t>
            </w:r>
            <w:proofErr w:type="spellEnd"/>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NIWA</w:t>
            </w:r>
          </w:p>
        </w:tc>
        <w:tc>
          <w:tcPr>
            <w:tcW w:w="10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1.5km</w:t>
            </w:r>
          </w:p>
        </w:tc>
        <w:tc>
          <w:tcPr>
            <w:tcW w:w="9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70</w:t>
            </w:r>
          </w:p>
        </w:tc>
        <w:tc>
          <w:tcPr>
            <w:tcW w:w="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40 km</w:t>
            </w:r>
          </w:p>
        </w:tc>
        <w:tc>
          <w:tcPr>
            <w:tcW w:w="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36 h</w:t>
            </w:r>
          </w:p>
        </w:tc>
        <w:tc>
          <w:tcPr>
            <w:tcW w:w="7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4x</w:t>
            </w:r>
          </w:p>
        </w:tc>
        <w:tc>
          <w:tcPr>
            <w:tcW w:w="143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Fine scale GWs, </w:t>
            </w:r>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COAMPS</w:t>
            </w:r>
          </w:p>
        </w:tc>
        <w:tc>
          <w:tcPr>
            <w:tcW w:w="83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2060"/>
                <w:kern w:val="24"/>
                <w:sz w:val="18"/>
                <w:szCs w:val="18"/>
              </w:rPr>
              <w:t>Meso</w:t>
            </w:r>
            <w:proofErr w:type="spellEnd"/>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NRL</w:t>
            </w:r>
          </w:p>
        </w:tc>
        <w:tc>
          <w:tcPr>
            <w:tcW w:w="10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15km</w:t>
            </w:r>
          </w:p>
        </w:tc>
        <w:tc>
          <w:tcPr>
            <w:tcW w:w="9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86</w:t>
            </w:r>
          </w:p>
        </w:tc>
        <w:tc>
          <w:tcPr>
            <w:tcW w:w="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60 km</w:t>
            </w:r>
          </w:p>
        </w:tc>
        <w:tc>
          <w:tcPr>
            <w:tcW w:w="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48h</w:t>
            </w:r>
          </w:p>
        </w:tc>
        <w:tc>
          <w:tcPr>
            <w:tcW w:w="7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2x</w:t>
            </w:r>
          </w:p>
        </w:tc>
        <w:tc>
          <w:tcPr>
            <w:tcW w:w="143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GWs, </w:t>
            </w:r>
            <w:proofErr w:type="spellStart"/>
            <w:r w:rsidRPr="00772D67">
              <w:rPr>
                <w:rFonts w:asciiTheme="majorHAnsi" w:eastAsia="Times New Roman" w:hAnsiTheme="majorHAnsi" w:cs="Arial"/>
                <w:color w:val="002060"/>
                <w:kern w:val="24"/>
                <w:sz w:val="18"/>
                <w:szCs w:val="18"/>
              </w:rPr>
              <w:t>meso</w:t>
            </w:r>
            <w:proofErr w:type="spellEnd"/>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WRF</w:t>
            </w: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2060"/>
                <w:kern w:val="24"/>
                <w:sz w:val="18"/>
                <w:szCs w:val="18"/>
              </w:rPr>
              <w:t>Meso</w:t>
            </w:r>
            <w:proofErr w:type="spellEnd"/>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Inns.</w:t>
            </w:r>
          </w:p>
        </w:tc>
        <w:tc>
          <w:tcPr>
            <w:tcW w:w="10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6 km</w:t>
            </w:r>
          </w:p>
        </w:tc>
        <w:tc>
          <w:tcPr>
            <w:tcW w:w="9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89</w:t>
            </w:r>
          </w:p>
        </w:tc>
        <w:tc>
          <w:tcPr>
            <w:tcW w:w="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35 km</w:t>
            </w:r>
          </w:p>
        </w:tc>
        <w:tc>
          <w:tcPr>
            <w:tcW w:w="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72h</w:t>
            </w:r>
          </w:p>
        </w:tc>
        <w:tc>
          <w:tcPr>
            <w:tcW w:w="7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2x</w:t>
            </w:r>
          </w:p>
        </w:tc>
        <w:tc>
          <w:tcPr>
            <w:tcW w:w="143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GWs, </w:t>
            </w:r>
            <w:proofErr w:type="spellStart"/>
            <w:r w:rsidRPr="00772D67">
              <w:rPr>
                <w:rFonts w:asciiTheme="majorHAnsi" w:eastAsia="Times New Roman" w:hAnsiTheme="majorHAnsi" w:cs="Arial"/>
                <w:color w:val="002060"/>
                <w:kern w:val="24"/>
                <w:sz w:val="18"/>
                <w:szCs w:val="18"/>
              </w:rPr>
              <w:t>meso</w:t>
            </w:r>
            <w:proofErr w:type="spellEnd"/>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COSMO</w:t>
            </w:r>
          </w:p>
        </w:tc>
        <w:tc>
          <w:tcPr>
            <w:tcW w:w="83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2060"/>
                <w:kern w:val="24"/>
                <w:sz w:val="18"/>
                <w:szCs w:val="18"/>
              </w:rPr>
              <w:t>Meso</w:t>
            </w:r>
            <w:proofErr w:type="spellEnd"/>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BGS</w:t>
            </w:r>
          </w:p>
        </w:tc>
        <w:tc>
          <w:tcPr>
            <w:tcW w:w="10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2.8 km</w:t>
            </w:r>
          </w:p>
        </w:tc>
        <w:tc>
          <w:tcPr>
            <w:tcW w:w="9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48h</w:t>
            </w:r>
          </w:p>
        </w:tc>
        <w:tc>
          <w:tcPr>
            <w:tcW w:w="7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2x</w:t>
            </w:r>
          </w:p>
        </w:tc>
        <w:tc>
          <w:tcPr>
            <w:tcW w:w="143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Fine scale GWs, </w:t>
            </w:r>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COAMPS </w:t>
            </w:r>
            <w:proofErr w:type="spellStart"/>
            <w:r w:rsidRPr="00772D67">
              <w:rPr>
                <w:rFonts w:asciiTheme="majorHAnsi" w:eastAsia="Times New Roman" w:hAnsiTheme="majorHAnsi" w:cs="Arial"/>
                <w:color w:val="002060"/>
                <w:kern w:val="24"/>
                <w:sz w:val="18"/>
                <w:szCs w:val="18"/>
              </w:rPr>
              <w:t>Adjoint</w:t>
            </w:r>
            <w:proofErr w:type="spellEnd"/>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2060"/>
                <w:kern w:val="24"/>
                <w:sz w:val="18"/>
                <w:szCs w:val="18"/>
              </w:rPr>
              <w:t>Meso</w:t>
            </w:r>
            <w:proofErr w:type="spellEnd"/>
          </w:p>
        </w:tc>
        <w:tc>
          <w:tcPr>
            <w:tcW w:w="7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NRL</w:t>
            </w:r>
          </w:p>
        </w:tc>
        <w:tc>
          <w:tcPr>
            <w:tcW w:w="10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35 km</w:t>
            </w:r>
          </w:p>
        </w:tc>
        <w:tc>
          <w:tcPr>
            <w:tcW w:w="96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60</w:t>
            </w:r>
          </w:p>
        </w:tc>
        <w:tc>
          <w:tcPr>
            <w:tcW w:w="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30 km</w:t>
            </w:r>
          </w:p>
        </w:tc>
        <w:tc>
          <w:tcPr>
            <w:tcW w:w="8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48h</w:t>
            </w:r>
          </w:p>
        </w:tc>
        <w:tc>
          <w:tcPr>
            <w:tcW w:w="75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4x</w:t>
            </w:r>
          </w:p>
        </w:tc>
        <w:tc>
          <w:tcPr>
            <w:tcW w:w="143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Targeting</w:t>
            </w:r>
          </w:p>
        </w:tc>
      </w:tr>
      <w:tr w:rsidR="001934B2" w:rsidRPr="00772D67" w:rsidTr="00171A01">
        <w:trPr>
          <w:trHeight w:val="254"/>
        </w:trPr>
        <w:tc>
          <w:tcPr>
            <w:tcW w:w="10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Ray Tracing</w:t>
            </w:r>
          </w:p>
        </w:tc>
        <w:tc>
          <w:tcPr>
            <w:tcW w:w="83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Linear</w:t>
            </w:r>
          </w:p>
        </w:tc>
        <w:tc>
          <w:tcPr>
            <w:tcW w:w="7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NRL</w:t>
            </w:r>
          </w:p>
        </w:tc>
        <w:tc>
          <w:tcPr>
            <w:tcW w:w="10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96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8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7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p>
        </w:tc>
        <w:tc>
          <w:tcPr>
            <w:tcW w:w="143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45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2060"/>
                <w:kern w:val="24"/>
                <w:sz w:val="18"/>
                <w:szCs w:val="18"/>
              </w:rPr>
              <w:t xml:space="preserve">Ray Tracing </w:t>
            </w:r>
          </w:p>
        </w:tc>
      </w:tr>
    </w:tbl>
    <w:p w:rsidR="001934B2" w:rsidRPr="00772D67" w:rsidRDefault="001934B2" w:rsidP="001934B2">
      <w:pPr>
        <w:tabs>
          <w:tab w:val="left" w:pos="450"/>
        </w:tabs>
        <w:rPr>
          <w:rFonts w:asciiTheme="majorHAnsi" w:hAnsiTheme="majorHAnsi" w:cs="Arial"/>
          <w:sz w:val="16"/>
          <w:szCs w:val="16"/>
        </w:rPr>
      </w:pP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br w:type="page"/>
      </w:r>
    </w:p>
    <w:p w:rsidR="001934B2" w:rsidRPr="00772D67" w:rsidRDefault="001934B2" w:rsidP="001934B2">
      <w:pPr>
        <w:rPr>
          <w:rFonts w:asciiTheme="majorHAnsi" w:hAnsiTheme="majorHAnsi" w:cs="Arial"/>
          <w:sz w:val="24"/>
          <w:szCs w:val="24"/>
        </w:rPr>
      </w:pPr>
      <w:proofErr w:type="gramStart"/>
      <w:r w:rsidRPr="00772D67">
        <w:rPr>
          <w:rFonts w:asciiTheme="majorHAnsi" w:hAnsiTheme="majorHAnsi" w:cs="Arial"/>
          <w:sz w:val="24"/>
          <w:szCs w:val="24"/>
        </w:rPr>
        <w:lastRenderedPageBreak/>
        <w:t>4.1.5  Standard</w:t>
      </w:r>
      <w:proofErr w:type="gramEnd"/>
      <w:r w:rsidRPr="00772D67">
        <w:rPr>
          <w:rFonts w:asciiTheme="majorHAnsi" w:hAnsiTheme="majorHAnsi" w:cs="Arial"/>
          <w:sz w:val="24"/>
          <w:szCs w:val="24"/>
        </w:rPr>
        <w:t xml:space="preserve"> DEEPWAVE Model Products</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A number of different model products have been identified and summarized in Table 4.2.  These products will be typically provided at a temporal frequency of 3 h.  Some models (e.g., medium range global) will provide products out to 5 days; the mesoscale models will provide products to 36 h or 48 h.  The intention is to standardize the model graphical products (colors, domains, levels, variables) as much as possible to allow for easy intercomparison of output from multiple modeling systems.  </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 xml:space="preserve">Table 4.2.  </w:t>
      </w:r>
      <w:proofErr w:type="gramStart"/>
      <w:r w:rsidRPr="00772D67">
        <w:rPr>
          <w:rFonts w:asciiTheme="majorHAnsi" w:hAnsiTheme="majorHAnsi" w:cs="Arial"/>
          <w:sz w:val="24"/>
          <w:szCs w:val="24"/>
        </w:rPr>
        <w:t>Summary of standard model graphical products for DEEPWAVE.</w:t>
      </w:r>
      <w:proofErr w:type="gramEnd"/>
      <w:r w:rsidRPr="00772D67">
        <w:rPr>
          <w:rFonts w:asciiTheme="majorHAnsi" w:hAnsiTheme="majorHAnsi" w:cs="Arial"/>
          <w:sz w:val="24"/>
          <w:szCs w:val="24"/>
        </w:rPr>
        <w:t xml:space="preserve">   </w:t>
      </w:r>
    </w:p>
    <w:tbl>
      <w:tblPr>
        <w:tblW w:w="8604" w:type="dxa"/>
        <w:tblInd w:w="540" w:type="dxa"/>
        <w:tblCellMar>
          <w:left w:w="0" w:type="dxa"/>
          <w:right w:w="0" w:type="dxa"/>
        </w:tblCellMar>
        <w:tblLook w:val="0420"/>
      </w:tblPr>
      <w:tblGrid>
        <w:gridCol w:w="1944"/>
        <w:gridCol w:w="3780"/>
        <w:gridCol w:w="1260"/>
        <w:gridCol w:w="1620"/>
      </w:tblGrid>
      <w:tr w:rsidR="001934B2" w:rsidRPr="00772D67" w:rsidTr="00171A01">
        <w:trPr>
          <w:trHeight w:val="561"/>
        </w:trPr>
        <w:tc>
          <w:tcPr>
            <w:tcW w:w="194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b/>
                <w:sz w:val="20"/>
                <w:szCs w:val="20"/>
              </w:rPr>
            </w:pPr>
            <w:r w:rsidRPr="00772D67">
              <w:rPr>
                <w:rFonts w:asciiTheme="majorHAnsi" w:eastAsia="Times New Roman" w:hAnsiTheme="majorHAnsi" w:cs="Arial"/>
                <w:b/>
                <w:bCs/>
                <w:color w:val="FFFFFF"/>
                <w:kern w:val="24"/>
                <w:sz w:val="20"/>
                <w:szCs w:val="20"/>
              </w:rPr>
              <w:t>Variable</w:t>
            </w:r>
          </w:p>
        </w:tc>
        <w:tc>
          <w:tcPr>
            <w:tcW w:w="37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b/>
                <w:sz w:val="20"/>
                <w:szCs w:val="20"/>
              </w:rPr>
            </w:pPr>
            <w:r w:rsidRPr="00772D67">
              <w:rPr>
                <w:rFonts w:asciiTheme="majorHAnsi" w:eastAsia="Times New Roman" w:hAnsiTheme="majorHAnsi" w:cs="Arial"/>
                <w:b/>
                <w:bCs/>
                <w:color w:val="FFFFFF"/>
                <w:kern w:val="24"/>
                <w:sz w:val="20"/>
                <w:szCs w:val="20"/>
              </w:rPr>
              <w:t>Levels</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b/>
                <w:sz w:val="20"/>
                <w:szCs w:val="20"/>
              </w:rPr>
            </w:pPr>
            <w:r w:rsidRPr="00772D67">
              <w:rPr>
                <w:rFonts w:asciiTheme="majorHAnsi" w:eastAsia="Times New Roman" w:hAnsiTheme="majorHAnsi" w:cs="Arial"/>
                <w:b/>
                <w:bCs/>
                <w:color w:val="FFFFFF"/>
                <w:kern w:val="24"/>
                <w:sz w:val="20"/>
                <w:szCs w:val="20"/>
              </w:rPr>
              <w:t>Temporal Frequency</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b/>
                <w:sz w:val="20"/>
                <w:szCs w:val="20"/>
              </w:rPr>
            </w:pPr>
            <w:r w:rsidRPr="00772D67">
              <w:rPr>
                <w:rFonts w:asciiTheme="majorHAnsi" w:eastAsia="Times New Roman" w:hAnsiTheme="majorHAnsi" w:cs="Arial"/>
                <w:b/>
                <w:bCs/>
                <w:color w:val="FFFFFF"/>
                <w:kern w:val="24"/>
                <w:sz w:val="20"/>
                <w:szCs w:val="20"/>
              </w:rPr>
              <w:t>Forecast Length</w:t>
            </w:r>
          </w:p>
        </w:tc>
      </w:tr>
      <w:tr w:rsidR="001934B2" w:rsidRPr="00772D67" w:rsidTr="00171A01">
        <w:trPr>
          <w:trHeight w:val="399"/>
        </w:trPr>
        <w:tc>
          <w:tcPr>
            <w:tcW w:w="194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SLP, 3-h rain fall</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0000"/>
                <w:kern w:val="24"/>
                <w:sz w:val="18"/>
                <w:szCs w:val="18"/>
              </w:rPr>
              <w:t>hPa</w:t>
            </w:r>
            <w:proofErr w:type="spellEnd"/>
            <w:r w:rsidRPr="00772D67">
              <w:rPr>
                <w:rFonts w:asciiTheme="majorHAnsi" w:eastAsia="Times New Roman" w:hAnsiTheme="majorHAnsi" w:cs="Arial"/>
                <w:color w:val="000000"/>
                <w:kern w:val="24"/>
                <w:sz w:val="18"/>
                <w:szCs w:val="18"/>
              </w:rPr>
              <w:t>, mm</w:t>
            </w:r>
          </w:p>
        </w:tc>
        <w:tc>
          <w:tcPr>
            <w:tcW w:w="37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Sea level</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Every 3 h </w:t>
            </w:r>
          </w:p>
        </w:tc>
        <w:tc>
          <w:tcPr>
            <w:tcW w:w="16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120 h global</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 mesoscale</w:t>
            </w:r>
          </w:p>
        </w:tc>
      </w:tr>
      <w:tr w:rsidR="001934B2" w:rsidRPr="00772D67" w:rsidTr="00171A01">
        <w:trPr>
          <w:trHeight w:val="646"/>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Heights-Winds</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Meters, m/s</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vectors</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850, 700, 500, 300, 200, 100, 50, 10, 5 </w:t>
            </w:r>
            <w:proofErr w:type="spellStart"/>
            <w:r w:rsidRPr="00772D67">
              <w:rPr>
                <w:rFonts w:asciiTheme="majorHAnsi" w:eastAsia="Times New Roman" w:hAnsiTheme="majorHAnsi" w:cs="Arial"/>
                <w:color w:val="000000"/>
                <w:kern w:val="24"/>
                <w:sz w:val="18"/>
                <w:szCs w:val="18"/>
              </w:rPr>
              <w:t>mb</w:t>
            </w:r>
            <w:proofErr w:type="spellEnd"/>
            <w:r w:rsidRPr="00772D67">
              <w:rPr>
                <w:rFonts w:asciiTheme="majorHAnsi" w:eastAsia="Times New Roman" w:hAnsiTheme="majorHAnsi" w:cs="Arial"/>
                <w:color w:val="000000"/>
                <w:kern w:val="24"/>
                <w:sz w:val="18"/>
                <w:szCs w:val="18"/>
              </w:rPr>
              <w:t xml:space="preserve"> </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120 h global</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 mesoscale</w:t>
            </w:r>
          </w:p>
        </w:tc>
      </w:tr>
      <w:tr w:rsidR="001934B2" w:rsidRPr="00772D67" w:rsidTr="00171A01">
        <w:trPr>
          <w:trHeight w:val="466"/>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Vertical velocity</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m/s</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850, 700, 500, 300, 200, 100, 50, 10, 5 </w:t>
            </w:r>
            <w:proofErr w:type="spellStart"/>
            <w:r w:rsidRPr="00772D67">
              <w:rPr>
                <w:rFonts w:asciiTheme="majorHAnsi" w:eastAsia="Times New Roman" w:hAnsiTheme="majorHAnsi" w:cs="Arial"/>
                <w:color w:val="000000"/>
                <w:kern w:val="24"/>
                <w:sz w:val="18"/>
                <w:szCs w:val="18"/>
              </w:rPr>
              <w:t>mb</w:t>
            </w:r>
            <w:proofErr w:type="spellEnd"/>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120 h global</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 mesoscale</w:t>
            </w:r>
          </w:p>
        </w:tc>
      </w:tr>
      <w:tr w:rsidR="001934B2" w:rsidRPr="00772D67" w:rsidTr="00171A01">
        <w:trPr>
          <w:trHeight w:val="466"/>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Divergence</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10**3 /s</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850, 700, 500, 300, 200, 100, 50, 10, 5 </w:t>
            </w:r>
            <w:proofErr w:type="spellStart"/>
            <w:r w:rsidRPr="00772D67">
              <w:rPr>
                <w:rFonts w:asciiTheme="majorHAnsi" w:eastAsia="Times New Roman" w:hAnsiTheme="majorHAnsi" w:cs="Arial"/>
                <w:color w:val="000000"/>
                <w:kern w:val="24"/>
                <w:sz w:val="18"/>
                <w:szCs w:val="18"/>
              </w:rPr>
              <w:t>mb</w:t>
            </w:r>
            <w:proofErr w:type="spellEnd"/>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120 h global</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 mesoscale</w:t>
            </w:r>
          </w:p>
        </w:tc>
      </w:tr>
      <w:tr w:rsidR="001934B2" w:rsidRPr="00772D67" w:rsidTr="00171A01">
        <w:trPr>
          <w:trHeight w:val="1141"/>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Theta, vertical velocity, horizontal winds</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Cross barrier sections</w:t>
            </w:r>
          </w:p>
          <w:p w:rsidR="001934B2" w:rsidRPr="00772D67" w:rsidRDefault="001934B2" w:rsidP="001934B2">
            <w:pPr>
              <w:numPr>
                <w:ilvl w:val="0"/>
                <w:numId w:val="2"/>
              </w:numPr>
              <w:tabs>
                <w:tab w:val="left" w:pos="540"/>
              </w:tabs>
              <w:spacing w:after="0" w:line="240" w:lineRule="auto"/>
              <w:ind w:left="320" w:hanging="90"/>
              <w:contextualSpacing/>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Across S. Island (3 sections)</w:t>
            </w:r>
          </w:p>
          <w:p w:rsidR="001934B2" w:rsidRPr="00772D67" w:rsidRDefault="001934B2" w:rsidP="001934B2">
            <w:pPr>
              <w:numPr>
                <w:ilvl w:val="0"/>
                <w:numId w:val="2"/>
              </w:numPr>
              <w:tabs>
                <w:tab w:val="left" w:pos="540"/>
              </w:tabs>
              <w:spacing w:after="0" w:line="240" w:lineRule="auto"/>
              <w:ind w:left="320" w:hanging="90"/>
              <w:contextualSpacing/>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Across Tasmania</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Section in height </w:t>
            </w:r>
            <w:proofErr w:type="spellStart"/>
            <w:r w:rsidRPr="00772D67">
              <w:rPr>
                <w:rFonts w:asciiTheme="majorHAnsi" w:eastAsia="Times New Roman" w:hAnsiTheme="majorHAnsi" w:cs="Arial"/>
                <w:color w:val="000000"/>
                <w:kern w:val="24"/>
                <w:sz w:val="18"/>
                <w:szCs w:val="18"/>
              </w:rPr>
              <w:t>coord</w:t>
            </w:r>
            <w:proofErr w:type="spellEnd"/>
            <w:r w:rsidRPr="00772D67">
              <w:rPr>
                <w:rFonts w:asciiTheme="majorHAnsi" w:eastAsia="Times New Roman" w:hAnsiTheme="majorHAnsi" w:cs="Arial"/>
                <w:color w:val="000000"/>
                <w:kern w:val="24"/>
                <w:sz w:val="18"/>
                <w:szCs w:val="18"/>
              </w:rPr>
              <w:t>.</w:t>
            </w:r>
          </w:p>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Top at 40 km</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w:t>
            </w:r>
          </w:p>
        </w:tc>
      </w:tr>
      <w:tr w:rsidR="001934B2" w:rsidRPr="00772D67" w:rsidTr="00171A01">
        <w:trPr>
          <w:trHeight w:val="421"/>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Wind speed, potential temperature</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proofErr w:type="spellStart"/>
            <w:r w:rsidRPr="00772D67">
              <w:rPr>
                <w:rFonts w:asciiTheme="majorHAnsi" w:eastAsia="Times New Roman" w:hAnsiTheme="majorHAnsi" w:cs="Arial"/>
                <w:color w:val="000000"/>
                <w:kern w:val="24"/>
                <w:sz w:val="18"/>
                <w:szCs w:val="18"/>
              </w:rPr>
              <w:t>Meridional</w:t>
            </w:r>
            <w:proofErr w:type="spellEnd"/>
            <w:r w:rsidRPr="00772D67">
              <w:rPr>
                <w:rFonts w:asciiTheme="majorHAnsi" w:eastAsia="Times New Roman" w:hAnsiTheme="majorHAnsi" w:cs="Arial"/>
                <w:color w:val="000000"/>
                <w:kern w:val="24"/>
                <w:sz w:val="18"/>
                <w:szCs w:val="18"/>
              </w:rPr>
              <w:t xml:space="preserve"> cross section</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w:t>
            </w:r>
          </w:p>
        </w:tc>
      </w:tr>
      <w:tr w:rsidR="001934B2" w:rsidRPr="00772D67" w:rsidTr="00171A01">
        <w:trPr>
          <w:trHeight w:val="385"/>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Vertical flux of wave energy and zonal momentum flux.  </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 9, 13, 16, 20, 30, 40, 50, 60 km</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48 h </w:t>
            </w:r>
          </w:p>
        </w:tc>
      </w:tr>
      <w:tr w:rsidR="001934B2" w:rsidRPr="00772D67" w:rsidTr="00171A01">
        <w:trPr>
          <w:trHeight w:val="376"/>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Targeting products (NRL only)</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Vertically integrated energy, sensitivity for 850, 700mb </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3-6 h</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24 h sensitivity with various lead times</w:t>
            </w:r>
          </w:p>
        </w:tc>
      </w:tr>
      <w:tr w:rsidR="001934B2" w:rsidRPr="00772D67" w:rsidTr="00171A01">
        <w:trPr>
          <w:trHeight w:val="565"/>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 xml:space="preserve">Profiles of zonal wind speed (or cross </w:t>
            </w:r>
            <w:proofErr w:type="spellStart"/>
            <w:r w:rsidRPr="00772D67">
              <w:rPr>
                <w:rFonts w:asciiTheme="majorHAnsi" w:eastAsia="Times New Roman" w:hAnsiTheme="majorHAnsi" w:cs="Arial"/>
                <w:color w:val="000000"/>
                <w:kern w:val="24"/>
                <w:sz w:val="18"/>
                <w:szCs w:val="18"/>
              </w:rPr>
              <w:t>mtn</w:t>
            </w:r>
            <w:proofErr w:type="spellEnd"/>
            <w:r w:rsidRPr="00772D67">
              <w:rPr>
                <w:rFonts w:asciiTheme="majorHAnsi" w:eastAsia="Times New Roman" w:hAnsiTheme="majorHAnsi" w:cs="Arial"/>
                <w:color w:val="000000"/>
                <w:kern w:val="24"/>
                <w:sz w:val="18"/>
                <w:szCs w:val="18"/>
              </w:rPr>
              <w:t>) for all targets</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Vertical profile – SI NZ (N and S), TAS, AI, MI, several S. Ocean Pts</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3-6 h</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240" w:lineRule="auto"/>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120 h Global</w:t>
            </w:r>
          </w:p>
        </w:tc>
      </w:tr>
      <w:tr w:rsidR="001934B2" w:rsidRPr="00772D67" w:rsidTr="00171A01">
        <w:trPr>
          <w:trHeight w:val="335"/>
        </w:trPr>
        <w:tc>
          <w:tcPr>
            <w:tcW w:w="194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Cloud Top</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Top in height</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w:t>
            </w:r>
          </w:p>
        </w:tc>
      </w:tr>
      <w:tr w:rsidR="001934B2" w:rsidRPr="00772D67" w:rsidTr="00171A01">
        <w:trPr>
          <w:trHeight w:val="335"/>
        </w:trPr>
        <w:tc>
          <w:tcPr>
            <w:tcW w:w="194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Turbulence</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Flight Level</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Every 3 h</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tabs>
                <w:tab w:val="left" w:pos="540"/>
              </w:tabs>
              <w:spacing w:after="0" w:line="335" w:lineRule="atLeast"/>
              <w:rPr>
                <w:rFonts w:asciiTheme="majorHAnsi" w:eastAsia="Times New Roman" w:hAnsiTheme="majorHAnsi" w:cs="Arial"/>
                <w:sz w:val="18"/>
                <w:szCs w:val="18"/>
              </w:rPr>
            </w:pPr>
            <w:r w:rsidRPr="00772D67">
              <w:rPr>
                <w:rFonts w:asciiTheme="majorHAnsi" w:eastAsia="Times New Roman" w:hAnsiTheme="majorHAnsi" w:cs="Arial"/>
                <w:color w:val="000000"/>
                <w:kern w:val="24"/>
                <w:sz w:val="18"/>
                <w:szCs w:val="18"/>
              </w:rPr>
              <w:t>48 h</w:t>
            </w:r>
          </w:p>
        </w:tc>
      </w:tr>
    </w:tbl>
    <w:p w:rsidR="001934B2" w:rsidRPr="00772D67" w:rsidRDefault="001934B2" w:rsidP="001934B2">
      <w:pPr>
        <w:rPr>
          <w:rFonts w:asciiTheme="majorHAnsi" w:hAnsiTheme="majorHAnsi" w:cs="Arial"/>
          <w:sz w:val="24"/>
          <w:szCs w:val="24"/>
        </w:rPr>
      </w:pP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lastRenderedPageBreak/>
        <w:t>4.2</w:t>
      </w:r>
      <w:r w:rsidRPr="00772D67">
        <w:rPr>
          <w:rFonts w:asciiTheme="majorHAnsi" w:hAnsiTheme="majorHAnsi" w:cs="Arial"/>
          <w:sz w:val="24"/>
          <w:szCs w:val="24"/>
        </w:rPr>
        <w:tab/>
        <w:t xml:space="preserve">Forecasting and </w:t>
      </w:r>
      <w:proofErr w:type="spellStart"/>
      <w:r w:rsidRPr="00772D67">
        <w:rPr>
          <w:rFonts w:asciiTheme="majorHAnsi" w:hAnsiTheme="majorHAnsi" w:cs="Arial"/>
          <w:sz w:val="24"/>
          <w:szCs w:val="24"/>
        </w:rPr>
        <w:t>Nowcasting</w:t>
      </w:r>
      <w:proofErr w:type="spellEnd"/>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Weather forecast discussions will occur daily during the DEEPWAVE field campaign. The daily schedules are described in Section 3. There will be a weather discussion during the DEEPWAVE Daily Planning Meeting each afternoon and a pilot weather briefing 2 hours before take-off.  Additionally, there will be a morning weather forecast discussion convened prior to the Daily Planning Meeting.  </w:t>
      </w:r>
      <w:proofErr w:type="spellStart"/>
      <w:r w:rsidRPr="00772D67">
        <w:rPr>
          <w:rFonts w:asciiTheme="majorHAnsi" w:hAnsiTheme="majorHAnsi" w:cs="Arial"/>
          <w:sz w:val="24"/>
          <w:szCs w:val="24"/>
        </w:rPr>
        <w:t>Nowcasting</w:t>
      </w:r>
      <w:proofErr w:type="spellEnd"/>
      <w:r w:rsidRPr="00772D67">
        <w:rPr>
          <w:rFonts w:asciiTheme="majorHAnsi" w:hAnsiTheme="majorHAnsi" w:cs="Arial"/>
          <w:sz w:val="24"/>
          <w:szCs w:val="24"/>
        </w:rPr>
        <w:t xml:space="preserve"> will occur on the day of a flight to assess whether conditions have changed from the previous day.  By convention, we consider Day 1 to refer to the current day, Day 2 to tomorrow, etc.</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There are 5 types of general missions that will be considered during DEEPWAVE for the G-V and Falcon.  The forecasters need to assess and summarize the conditions for each of these mission types.  The DEEPWAVE missions include:</w:t>
      </w:r>
    </w:p>
    <w:p w:rsidR="001934B2" w:rsidRPr="00772D67" w:rsidRDefault="001934B2" w:rsidP="001934B2">
      <w:pPr>
        <w:pStyle w:val="ListParagraph"/>
        <w:numPr>
          <w:ilvl w:val="0"/>
          <w:numId w:val="3"/>
        </w:numPr>
        <w:rPr>
          <w:rFonts w:asciiTheme="majorHAnsi" w:hAnsiTheme="majorHAnsi" w:cs="Arial"/>
          <w:sz w:val="24"/>
          <w:szCs w:val="24"/>
        </w:rPr>
      </w:pPr>
      <w:r w:rsidRPr="00772D67">
        <w:rPr>
          <w:rFonts w:asciiTheme="majorHAnsi" w:hAnsiTheme="majorHAnsi" w:cs="Arial"/>
          <w:sz w:val="24"/>
          <w:szCs w:val="24"/>
        </w:rPr>
        <w:t>Orographic and trailing waves in the vicinity of the S. Island of New Zealand</w:t>
      </w:r>
    </w:p>
    <w:p w:rsidR="001934B2" w:rsidRPr="00772D67" w:rsidRDefault="001934B2" w:rsidP="001934B2">
      <w:pPr>
        <w:pStyle w:val="ListParagraph"/>
        <w:numPr>
          <w:ilvl w:val="0"/>
          <w:numId w:val="3"/>
        </w:numPr>
        <w:rPr>
          <w:rFonts w:asciiTheme="majorHAnsi" w:hAnsiTheme="majorHAnsi" w:cs="Arial"/>
          <w:sz w:val="24"/>
          <w:szCs w:val="24"/>
        </w:rPr>
      </w:pPr>
      <w:r w:rsidRPr="00772D67">
        <w:rPr>
          <w:rFonts w:asciiTheme="majorHAnsi" w:hAnsiTheme="majorHAnsi" w:cs="Arial"/>
          <w:sz w:val="24"/>
          <w:szCs w:val="24"/>
        </w:rPr>
        <w:t>Orographic and trailing waves in the vicinity of Tasmania</w:t>
      </w:r>
    </w:p>
    <w:p w:rsidR="001934B2" w:rsidRPr="00772D67" w:rsidRDefault="001934B2" w:rsidP="001934B2">
      <w:pPr>
        <w:pStyle w:val="ListParagraph"/>
        <w:numPr>
          <w:ilvl w:val="0"/>
          <w:numId w:val="3"/>
        </w:numPr>
        <w:rPr>
          <w:rFonts w:asciiTheme="majorHAnsi" w:hAnsiTheme="majorHAnsi" w:cs="Arial"/>
          <w:sz w:val="24"/>
          <w:szCs w:val="24"/>
        </w:rPr>
      </w:pPr>
      <w:r w:rsidRPr="00772D67">
        <w:rPr>
          <w:rFonts w:asciiTheme="majorHAnsi" w:hAnsiTheme="majorHAnsi" w:cs="Arial"/>
          <w:sz w:val="24"/>
          <w:szCs w:val="24"/>
        </w:rPr>
        <w:t xml:space="preserve">Orographic and non-orographic waves in the vicinity of Auckland and/or Macquarie Islands, located to the south of New Zealand.  </w:t>
      </w:r>
    </w:p>
    <w:p w:rsidR="001934B2" w:rsidRPr="00772D67" w:rsidRDefault="001934B2" w:rsidP="001934B2">
      <w:pPr>
        <w:pStyle w:val="ListParagraph"/>
        <w:numPr>
          <w:ilvl w:val="0"/>
          <w:numId w:val="3"/>
        </w:numPr>
        <w:rPr>
          <w:rFonts w:asciiTheme="majorHAnsi" w:hAnsiTheme="majorHAnsi" w:cs="Arial"/>
          <w:sz w:val="24"/>
          <w:szCs w:val="24"/>
        </w:rPr>
      </w:pPr>
      <w:r w:rsidRPr="00772D67">
        <w:rPr>
          <w:rFonts w:asciiTheme="majorHAnsi" w:hAnsiTheme="majorHAnsi" w:cs="Arial"/>
          <w:sz w:val="24"/>
          <w:szCs w:val="24"/>
        </w:rPr>
        <w:t>Non-orographic waves over the Southern Ocean forced by jet streams, fronts, convection etc.; the source for these waves may not be known prior to the mission.</w:t>
      </w:r>
    </w:p>
    <w:p w:rsidR="001934B2" w:rsidRPr="00772D67" w:rsidRDefault="001934B2" w:rsidP="001934B2">
      <w:pPr>
        <w:pStyle w:val="ListParagraph"/>
        <w:numPr>
          <w:ilvl w:val="0"/>
          <w:numId w:val="3"/>
        </w:numPr>
        <w:rPr>
          <w:rFonts w:asciiTheme="majorHAnsi" w:hAnsiTheme="majorHAnsi" w:cs="Arial"/>
          <w:sz w:val="24"/>
          <w:szCs w:val="24"/>
        </w:rPr>
      </w:pPr>
      <w:r w:rsidRPr="00772D67">
        <w:rPr>
          <w:rFonts w:asciiTheme="majorHAnsi" w:hAnsiTheme="majorHAnsi" w:cs="Arial"/>
          <w:sz w:val="24"/>
          <w:szCs w:val="24"/>
        </w:rPr>
        <w:t xml:space="preserve">Predictability and targeting mission to sample regions of initial condition sensitivity, typically upstream of New Zealand.  </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Additionally, forecasters will need to consider multiple ground based instruments located at </w:t>
      </w:r>
      <w:proofErr w:type="spellStart"/>
      <w:r w:rsidRPr="00772D67">
        <w:rPr>
          <w:rFonts w:asciiTheme="majorHAnsi" w:hAnsiTheme="majorHAnsi" w:cs="Arial"/>
          <w:sz w:val="24"/>
          <w:szCs w:val="24"/>
        </w:rPr>
        <w:t>Hokitika</w:t>
      </w:r>
      <w:proofErr w:type="spellEnd"/>
      <w:r w:rsidRPr="00772D67">
        <w:rPr>
          <w:rFonts w:asciiTheme="majorHAnsi" w:hAnsiTheme="majorHAnsi" w:cs="Arial"/>
          <w:sz w:val="24"/>
          <w:szCs w:val="24"/>
        </w:rPr>
        <w:t xml:space="preserve"> (ISS, </w:t>
      </w:r>
      <w:proofErr w:type="spellStart"/>
      <w:r w:rsidRPr="00772D67">
        <w:rPr>
          <w:rFonts w:asciiTheme="majorHAnsi" w:hAnsiTheme="majorHAnsi" w:cs="Arial"/>
          <w:sz w:val="24"/>
          <w:szCs w:val="24"/>
        </w:rPr>
        <w:t>radiosondes</w:t>
      </w:r>
      <w:proofErr w:type="spellEnd"/>
      <w:r w:rsidRPr="00772D67">
        <w:rPr>
          <w:rFonts w:asciiTheme="majorHAnsi" w:hAnsiTheme="majorHAnsi" w:cs="Arial"/>
          <w:sz w:val="24"/>
          <w:szCs w:val="24"/>
        </w:rPr>
        <w:t xml:space="preserve">), and radiosonde launch sites at Lauder, </w:t>
      </w:r>
      <w:proofErr w:type="spellStart"/>
      <w:r w:rsidRPr="00772D67">
        <w:rPr>
          <w:rFonts w:asciiTheme="majorHAnsi" w:hAnsiTheme="majorHAnsi" w:cs="Arial"/>
          <w:sz w:val="24"/>
          <w:szCs w:val="24"/>
        </w:rPr>
        <w:t>Haast</w:t>
      </w:r>
      <w:proofErr w:type="spellEnd"/>
      <w:r w:rsidRPr="00772D67">
        <w:rPr>
          <w:rFonts w:asciiTheme="majorHAnsi" w:hAnsiTheme="majorHAnsi" w:cs="Arial"/>
          <w:sz w:val="24"/>
          <w:szCs w:val="24"/>
        </w:rPr>
        <w:t xml:space="preserve">, Tasmania, and Macquarie.  If conditions are favorable for orographic waves, radiosondes at some of these sites may be launched at a more frequent interval (up to every 3 h) for short (~1-2 day) intensive observing periods (IOPs).  </w:t>
      </w: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The forecast discussion will consider the following aspects:</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t>Current synopsis and synoptic-scale discussion</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t xml:space="preserve">Synoptic-scale outlook for:  </w:t>
      </w:r>
      <w:proofErr w:type="spellStart"/>
      <w:r w:rsidRPr="00772D67">
        <w:rPr>
          <w:rFonts w:asciiTheme="majorHAnsi" w:hAnsiTheme="majorHAnsi" w:cs="Arial"/>
          <w:sz w:val="24"/>
          <w:szCs w:val="24"/>
        </w:rPr>
        <w:t>i</w:t>
      </w:r>
      <w:proofErr w:type="spellEnd"/>
      <w:r w:rsidRPr="00772D67">
        <w:rPr>
          <w:rFonts w:asciiTheme="majorHAnsi" w:hAnsiTheme="majorHAnsi" w:cs="Arial"/>
          <w:sz w:val="24"/>
          <w:szCs w:val="24"/>
        </w:rPr>
        <w:t>) up to 48 h, ii) days 2-4, iii) extended range</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t xml:space="preserve">Airport forecast and alternate airport forecasts (ceiling, wind, </w:t>
      </w:r>
      <w:proofErr w:type="spellStart"/>
      <w:r w:rsidRPr="00772D67">
        <w:rPr>
          <w:rFonts w:asciiTheme="majorHAnsi" w:hAnsiTheme="majorHAnsi" w:cs="Arial"/>
          <w:sz w:val="24"/>
          <w:szCs w:val="24"/>
        </w:rPr>
        <w:t>precip</w:t>
      </w:r>
      <w:proofErr w:type="spellEnd"/>
      <w:r w:rsidRPr="00772D67">
        <w:rPr>
          <w:rFonts w:asciiTheme="majorHAnsi" w:hAnsiTheme="majorHAnsi" w:cs="Arial"/>
          <w:sz w:val="24"/>
          <w:szCs w:val="24"/>
        </w:rPr>
        <w:t>)</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t>Gravity wave outlook for the above mission types</w:t>
      </w:r>
    </w:p>
    <w:p w:rsidR="001934B2" w:rsidRPr="00772D67" w:rsidRDefault="001934B2" w:rsidP="001934B2">
      <w:pPr>
        <w:pStyle w:val="ListParagraph"/>
        <w:numPr>
          <w:ilvl w:val="1"/>
          <w:numId w:val="4"/>
        </w:numPr>
        <w:rPr>
          <w:rFonts w:asciiTheme="majorHAnsi" w:hAnsiTheme="majorHAnsi" w:cs="Arial"/>
          <w:sz w:val="24"/>
          <w:szCs w:val="24"/>
        </w:rPr>
      </w:pPr>
      <w:r w:rsidRPr="00772D67">
        <w:rPr>
          <w:rFonts w:asciiTheme="majorHAnsi" w:hAnsiTheme="majorHAnsi" w:cs="Arial"/>
          <w:sz w:val="24"/>
          <w:szCs w:val="24"/>
        </w:rPr>
        <w:t>Consider the launching conditions, moisture, clouds, conditions for deep propagation, AIRS data etc.</w:t>
      </w:r>
    </w:p>
    <w:p w:rsidR="001934B2" w:rsidRPr="00772D67" w:rsidRDefault="001934B2" w:rsidP="001934B2">
      <w:pPr>
        <w:pStyle w:val="ListParagraph"/>
        <w:numPr>
          <w:ilvl w:val="1"/>
          <w:numId w:val="4"/>
        </w:numPr>
        <w:rPr>
          <w:rFonts w:asciiTheme="majorHAnsi" w:hAnsiTheme="majorHAnsi" w:cs="Arial"/>
          <w:sz w:val="24"/>
          <w:szCs w:val="24"/>
        </w:rPr>
      </w:pPr>
      <w:r w:rsidRPr="00772D67">
        <w:rPr>
          <w:rFonts w:asciiTheme="majorHAnsi" w:hAnsiTheme="majorHAnsi" w:cs="Arial"/>
          <w:sz w:val="24"/>
          <w:szCs w:val="24"/>
        </w:rPr>
        <w:t xml:space="preserve">Time periods of interest:  </w:t>
      </w:r>
      <w:proofErr w:type="spellStart"/>
      <w:r w:rsidRPr="00772D67">
        <w:rPr>
          <w:rFonts w:asciiTheme="majorHAnsi" w:hAnsiTheme="majorHAnsi" w:cs="Arial"/>
          <w:sz w:val="24"/>
          <w:szCs w:val="24"/>
        </w:rPr>
        <w:t>i</w:t>
      </w:r>
      <w:proofErr w:type="spellEnd"/>
      <w:r w:rsidRPr="00772D67">
        <w:rPr>
          <w:rFonts w:asciiTheme="majorHAnsi" w:hAnsiTheme="majorHAnsi" w:cs="Arial"/>
          <w:sz w:val="24"/>
          <w:szCs w:val="24"/>
        </w:rPr>
        <w:t>) up to 48 h, iii) days 2-4</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t>Predictability:  Assess the conditions and targets for Day 2.  Sensitive regions are valid at +36h and +48h from the initialization time.</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lastRenderedPageBreak/>
        <w:t>Turbulence outlook:  Provide forecasts of flight level turbulence (up to 36 h, through Day 2) for the most promising targets.</w:t>
      </w:r>
    </w:p>
    <w:p w:rsidR="001934B2" w:rsidRPr="00772D67" w:rsidRDefault="001934B2" w:rsidP="001934B2">
      <w:pPr>
        <w:pStyle w:val="ListParagraph"/>
        <w:numPr>
          <w:ilvl w:val="0"/>
          <w:numId w:val="4"/>
        </w:numPr>
        <w:rPr>
          <w:rFonts w:asciiTheme="majorHAnsi" w:hAnsiTheme="majorHAnsi" w:cs="Arial"/>
          <w:sz w:val="24"/>
          <w:szCs w:val="24"/>
        </w:rPr>
      </w:pPr>
      <w:r w:rsidRPr="00772D67">
        <w:rPr>
          <w:rFonts w:asciiTheme="majorHAnsi" w:hAnsiTheme="majorHAnsi" w:cs="Arial"/>
          <w:sz w:val="24"/>
          <w:szCs w:val="24"/>
        </w:rPr>
        <w:t>Mission outlook summary:  Summarize the prospects for various mission types through the use of the color-coded Mission Outlook Summary (see Table 4.3).</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It may help the forecasters to use standard thresholds, admittedly somewhat arbitrary, that summarize the prospects for gravity waves to be launched by the various orographic barriers.  Based on experience from the T-REX field program, the wind speed at crest level can be used as a proxy for the wave launching amplitude.  Since DEEPWAVE is concerned with deep propagation of gravity waves, strong winds through the depth of the stratosphere are considered desirable.  Given these two conditions, we propose a simple set of criteria to summarize the gravity wave potential for mission types 1-3 as follows:</w:t>
      </w:r>
    </w:p>
    <w:p w:rsidR="001934B2" w:rsidRPr="00772D67" w:rsidRDefault="001934B2" w:rsidP="001934B2">
      <w:pPr>
        <w:pStyle w:val="ListParagraph"/>
        <w:numPr>
          <w:ilvl w:val="0"/>
          <w:numId w:val="5"/>
        </w:numPr>
        <w:jc w:val="both"/>
        <w:rPr>
          <w:rFonts w:asciiTheme="majorHAnsi" w:hAnsiTheme="majorHAnsi" w:cs="Arial"/>
          <w:sz w:val="24"/>
          <w:szCs w:val="24"/>
        </w:rPr>
      </w:pPr>
      <w:r w:rsidRPr="00772D67">
        <w:rPr>
          <w:rFonts w:asciiTheme="majorHAnsi" w:hAnsiTheme="majorHAnsi" w:cs="Arial"/>
          <w:sz w:val="24"/>
          <w:szCs w:val="24"/>
        </w:rPr>
        <w:t xml:space="preserve">At 700 </w:t>
      </w:r>
      <w:proofErr w:type="spellStart"/>
      <w:r w:rsidRPr="00772D67">
        <w:rPr>
          <w:rFonts w:asciiTheme="majorHAnsi" w:hAnsiTheme="majorHAnsi" w:cs="Arial"/>
          <w:sz w:val="24"/>
          <w:szCs w:val="24"/>
        </w:rPr>
        <w:t>hPa</w:t>
      </w:r>
      <w:proofErr w:type="spellEnd"/>
      <w:r w:rsidRPr="00772D67">
        <w:rPr>
          <w:rFonts w:asciiTheme="majorHAnsi" w:hAnsiTheme="majorHAnsi" w:cs="Arial"/>
          <w:sz w:val="24"/>
          <w:szCs w:val="24"/>
        </w:rPr>
        <w:t xml:space="preserve"> (i.e. 3 to 4 km AMSL)</w:t>
      </w:r>
    </w:p>
    <w:p w:rsidR="001934B2" w:rsidRPr="00772D67" w:rsidRDefault="001934B2" w:rsidP="001934B2">
      <w:pPr>
        <w:pStyle w:val="ListParagraph"/>
        <w:numPr>
          <w:ilvl w:val="1"/>
          <w:numId w:val="5"/>
        </w:numPr>
        <w:jc w:val="both"/>
        <w:rPr>
          <w:rFonts w:asciiTheme="majorHAnsi" w:hAnsiTheme="majorHAnsi" w:cs="Arial"/>
          <w:sz w:val="24"/>
          <w:szCs w:val="24"/>
        </w:rPr>
      </w:pPr>
      <w:r w:rsidRPr="00772D67">
        <w:rPr>
          <w:rFonts w:asciiTheme="majorHAnsi" w:hAnsiTheme="majorHAnsi" w:cs="Arial"/>
          <w:sz w:val="24"/>
          <w:szCs w:val="24"/>
        </w:rPr>
        <w:t>U&gt;20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A grade (1.0)</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U&gt;10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B grade (2.0)</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U&lt;10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C grade (3.0)</w:t>
      </w:r>
    </w:p>
    <w:p w:rsidR="001934B2" w:rsidRPr="00772D67" w:rsidRDefault="001934B2" w:rsidP="001934B2">
      <w:pPr>
        <w:pStyle w:val="ListParagraph"/>
        <w:numPr>
          <w:ilvl w:val="0"/>
          <w:numId w:val="5"/>
        </w:numPr>
        <w:jc w:val="both"/>
        <w:rPr>
          <w:rFonts w:asciiTheme="majorHAnsi" w:hAnsiTheme="majorHAnsi" w:cs="Arial"/>
          <w:sz w:val="24"/>
          <w:szCs w:val="24"/>
        </w:rPr>
      </w:pPr>
      <w:r w:rsidRPr="00772D67">
        <w:rPr>
          <w:rFonts w:asciiTheme="majorHAnsi" w:hAnsiTheme="majorHAnsi" w:cs="Arial"/>
          <w:sz w:val="24"/>
          <w:szCs w:val="24"/>
        </w:rPr>
        <w:t xml:space="preserve">At 10 </w:t>
      </w:r>
      <w:proofErr w:type="spellStart"/>
      <w:r w:rsidRPr="00772D67">
        <w:rPr>
          <w:rFonts w:asciiTheme="majorHAnsi" w:hAnsiTheme="majorHAnsi" w:cs="Arial"/>
          <w:sz w:val="24"/>
          <w:szCs w:val="24"/>
        </w:rPr>
        <w:t>hPa</w:t>
      </w:r>
      <w:proofErr w:type="spellEnd"/>
      <w:r w:rsidRPr="00772D67">
        <w:rPr>
          <w:rFonts w:asciiTheme="majorHAnsi" w:hAnsiTheme="majorHAnsi" w:cs="Arial"/>
          <w:sz w:val="24"/>
          <w:szCs w:val="24"/>
        </w:rPr>
        <w:t xml:space="preserve"> (i.e. ~30 km AMSL)</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U&gt;20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A grade (1.0)</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U&gt;10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B grade (2.0)</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U&lt;10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C grade (3.0)</w:t>
      </w:r>
    </w:p>
    <w:p w:rsidR="001934B2" w:rsidRPr="00772D67" w:rsidRDefault="001934B2" w:rsidP="001934B2">
      <w:pPr>
        <w:pStyle w:val="ListParagraph"/>
        <w:numPr>
          <w:ilvl w:val="0"/>
          <w:numId w:val="5"/>
        </w:numPr>
        <w:jc w:val="both"/>
        <w:rPr>
          <w:rFonts w:asciiTheme="majorHAnsi" w:hAnsiTheme="majorHAnsi" w:cs="Arial"/>
          <w:sz w:val="24"/>
          <w:szCs w:val="24"/>
        </w:rPr>
      </w:pPr>
      <w:r w:rsidRPr="00772D67">
        <w:rPr>
          <w:rFonts w:asciiTheme="majorHAnsi" w:hAnsiTheme="majorHAnsi" w:cs="Arial"/>
          <w:sz w:val="24"/>
          <w:szCs w:val="24"/>
        </w:rPr>
        <w:t>Average mountain wave score</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A grade (1.0-1.9) (green color in Table 4.3)</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B grade (2.0-2.9) (yellow color in Table 4.3)</w:t>
      </w:r>
    </w:p>
    <w:p w:rsidR="001934B2" w:rsidRPr="00772D67" w:rsidRDefault="001934B2" w:rsidP="001934B2">
      <w:pPr>
        <w:numPr>
          <w:ilvl w:val="1"/>
          <w:numId w:val="5"/>
        </w:numPr>
        <w:jc w:val="both"/>
        <w:rPr>
          <w:rFonts w:asciiTheme="majorHAnsi" w:hAnsiTheme="majorHAnsi" w:cs="Arial"/>
          <w:sz w:val="24"/>
          <w:szCs w:val="24"/>
        </w:rPr>
      </w:pPr>
      <w:r w:rsidRPr="00772D67">
        <w:rPr>
          <w:rFonts w:asciiTheme="majorHAnsi" w:hAnsiTheme="majorHAnsi" w:cs="Arial"/>
          <w:sz w:val="24"/>
          <w:szCs w:val="24"/>
        </w:rPr>
        <w:t>C grade (&gt;3.0) (red color in Table 4.3)</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Inclusion of momentum and energy flux calculations may be another criterion that could be used to delineate the weak and strong gravity wave events.  </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The predictability type of mission is more difficult to quantify using a few basic criteria.  The main attributes that constitute a promising event for the predictability objective include:</w:t>
      </w:r>
    </w:p>
    <w:p w:rsidR="001934B2" w:rsidRPr="00772D67" w:rsidRDefault="001934B2" w:rsidP="001934B2">
      <w:pPr>
        <w:pStyle w:val="ListParagraph"/>
        <w:numPr>
          <w:ilvl w:val="0"/>
          <w:numId w:val="6"/>
        </w:numPr>
        <w:jc w:val="both"/>
        <w:rPr>
          <w:rFonts w:asciiTheme="majorHAnsi" w:hAnsiTheme="majorHAnsi" w:cs="Arial"/>
          <w:sz w:val="24"/>
          <w:szCs w:val="24"/>
        </w:rPr>
      </w:pPr>
      <w:r w:rsidRPr="00772D67">
        <w:rPr>
          <w:rFonts w:asciiTheme="majorHAnsi" w:hAnsiTheme="majorHAnsi" w:cs="Arial"/>
          <w:sz w:val="24"/>
          <w:szCs w:val="24"/>
        </w:rPr>
        <w:lastRenderedPageBreak/>
        <w:t xml:space="preserve">Relatively strong winds impinging on the S. Island </w:t>
      </w:r>
      <w:proofErr w:type="spellStart"/>
      <w:r w:rsidRPr="00772D67">
        <w:rPr>
          <w:rFonts w:asciiTheme="majorHAnsi" w:hAnsiTheme="majorHAnsi" w:cs="Arial"/>
          <w:sz w:val="24"/>
          <w:szCs w:val="24"/>
        </w:rPr>
        <w:t>orography</w:t>
      </w:r>
      <w:proofErr w:type="spellEnd"/>
      <w:r w:rsidRPr="00772D67">
        <w:rPr>
          <w:rFonts w:asciiTheme="majorHAnsi" w:hAnsiTheme="majorHAnsi" w:cs="Arial"/>
          <w:sz w:val="24"/>
          <w:szCs w:val="24"/>
        </w:rPr>
        <w:t xml:space="preserve">; at 700 </w:t>
      </w:r>
      <w:proofErr w:type="spellStart"/>
      <w:r w:rsidRPr="00772D67">
        <w:rPr>
          <w:rFonts w:asciiTheme="majorHAnsi" w:hAnsiTheme="majorHAnsi" w:cs="Arial"/>
          <w:sz w:val="24"/>
          <w:szCs w:val="24"/>
        </w:rPr>
        <w:t>hPa</w:t>
      </w:r>
      <w:proofErr w:type="spellEnd"/>
      <w:r w:rsidRPr="00772D67">
        <w:rPr>
          <w:rFonts w:asciiTheme="majorHAnsi" w:hAnsiTheme="majorHAnsi" w:cs="Arial"/>
          <w:sz w:val="24"/>
          <w:szCs w:val="24"/>
        </w:rPr>
        <w:t xml:space="preserve"> (i.e. 3 to 4 km AMSL)</w:t>
      </w:r>
    </w:p>
    <w:p w:rsidR="001934B2" w:rsidRPr="00772D67" w:rsidRDefault="001934B2" w:rsidP="001934B2">
      <w:pPr>
        <w:pStyle w:val="ListParagraph"/>
        <w:numPr>
          <w:ilvl w:val="1"/>
          <w:numId w:val="6"/>
        </w:numPr>
        <w:jc w:val="both"/>
        <w:rPr>
          <w:rFonts w:asciiTheme="majorHAnsi" w:hAnsiTheme="majorHAnsi" w:cs="Arial"/>
          <w:sz w:val="24"/>
          <w:szCs w:val="24"/>
        </w:rPr>
      </w:pPr>
      <w:r w:rsidRPr="00772D67">
        <w:rPr>
          <w:rFonts w:asciiTheme="majorHAnsi" w:hAnsiTheme="majorHAnsi" w:cs="Arial"/>
          <w:sz w:val="24"/>
          <w:szCs w:val="24"/>
        </w:rPr>
        <w:t>U&gt;20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A grade (1.0)</w:t>
      </w:r>
    </w:p>
    <w:p w:rsidR="001934B2" w:rsidRPr="00772D67" w:rsidRDefault="001934B2" w:rsidP="001934B2">
      <w:pPr>
        <w:numPr>
          <w:ilvl w:val="1"/>
          <w:numId w:val="6"/>
        </w:numPr>
        <w:jc w:val="both"/>
        <w:rPr>
          <w:rFonts w:asciiTheme="majorHAnsi" w:hAnsiTheme="majorHAnsi" w:cs="Arial"/>
          <w:sz w:val="24"/>
          <w:szCs w:val="24"/>
        </w:rPr>
      </w:pPr>
      <w:r w:rsidRPr="00772D67">
        <w:rPr>
          <w:rFonts w:asciiTheme="majorHAnsi" w:hAnsiTheme="majorHAnsi" w:cs="Arial"/>
          <w:sz w:val="24"/>
          <w:szCs w:val="24"/>
        </w:rPr>
        <w:t>U&gt;10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B grade (2.0)</w:t>
      </w:r>
    </w:p>
    <w:p w:rsidR="001934B2" w:rsidRPr="00772D67" w:rsidRDefault="001934B2" w:rsidP="001934B2">
      <w:pPr>
        <w:numPr>
          <w:ilvl w:val="1"/>
          <w:numId w:val="6"/>
        </w:numPr>
        <w:jc w:val="both"/>
        <w:rPr>
          <w:rFonts w:asciiTheme="majorHAnsi" w:hAnsiTheme="majorHAnsi" w:cs="Arial"/>
          <w:sz w:val="24"/>
          <w:szCs w:val="24"/>
        </w:rPr>
      </w:pPr>
      <w:r w:rsidRPr="00772D67">
        <w:rPr>
          <w:rFonts w:asciiTheme="majorHAnsi" w:hAnsiTheme="majorHAnsi" w:cs="Arial"/>
          <w:sz w:val="24"/>
          <w:szCs w:val="24"/>
        </w:rPr>
        <w:t>U&lt;10 m s</w:t>
      </w:r>
      <w:r w:rsidRPr="00772D67">
        <w:rPr>
          <w:rFonts w:asciiTheme="majorHAnsi" w:hAnsiTheme="majorHAnsi" w:cs="Arial"/>
          <w:sz w:val="24"/>
          <w:szCs w:val="24"/>
          <w:vertAlign w:val="superscript"/>
        </w:rPr>
        <w:t>-1</w:t>
      </w:r>
      <w:r w:rsidRPr="00772D67">
        <w:rPr>
          <w:rFonts w:asciiTheme="majorHAnsi" w:hAnsiTheme="majorHAnsi" w:cs="Arial"/>
          <w:sz w:val="24"/>
          <w:szCs w:val="24"/>
        </w:rPr>
        <w:t>, C grade (3.0)</w:t>
      </w:r>
    </w:p>
    <w:p w:rsidR="001934B2" w:rsidRPr="00772D67" w:rsidRDefault="001934B2" w:rsidP="001934B2">
      <w:pPr>
        <w:pStyle w:val="ListParagraph"/>
        <w:numPr>
          <w:ilvl w:val="0"/>
          <w:numId w:val="6"/>
        </w:numPr>
        <w:jc w:val="both"/>
        <w:rPr>
          <w:rFonts w:asciiTheme="majorHAnsi" w:hAnsiTheme="majorHAnsi" w:cs="Arial"/>
          <w:sz w:val="24"/>
          <w:szCs w:val="24"/>
        </w:rPr>
      </w:pPr>
      <w:r w:rsidRPr="00772D67">
        <w:rPr>
          <w:rFonts w:asciiTheme="majorHAnsi" w:hAnsiTheme="majorHAnsi" w:cs="Arial"/>
          <w:sz w:val="24"/>
          <w:szCs w:val="24"/>
        </w:rPr>
        <w:t xml:space="preserve">Upstream sensitivity targets within the range of the G-V for a 6-h mission.  Targets over the central and eastern Tasman Sea are generally accessible.  Higher scores should be given to more coherent targets that the aircraft can readily sample.  </w:t>
      </w:r>
    </w:p>
    <w:p w:rsidR="001934B2" w:rsidRPr="00772D67" w:rsidRDefault="001934B2" w:rsidP="001934B2">
      <w:pPr>
        <w:pStyle w:val="ListParagraph"/>
        <w:ind w:left="1080"/>
        <w:jc w:val="both"/>
        <w:rPr>
          <w:rFonts w:asciiTheme="majorHAnsi" w:hAnsiTheme="majorHAnsi" w:cs="Arial"/>
          <w:sz w:val="24"/>
          <w:szCs w:val="24"/>
        </w:rPr>
      </w:pPr>
      <w:r w:rsidRPr="00772D67">
        <w:rPr>
          <w:rFonts w:asciiTheme="majorHAnsi" w:hAnsiTheme="majorHAnsi" w:cs="Arial"/>
          <w:sz w:val="24"/>
          <w:szCs w:val="24"/>
        </w:rPr>
        <w:t>(</w:t>
      </w:r>
      <w:proofErr w:type="gramStart"/>
      <w:r w:rsidRPr="00772D67">
        <w:rPr>
          <w:rFonts w:asciiTheme="majorHAnsi" w:hAnsiTheme="majorHAnsi" w:cs="Arial"/>
          <w:sz w:val="24"/>
          <w:szCs w:val="24"/>
        </w:rPr>
        <w:t>qualitative</w:t>
      </w:r>
      <w:proofErr w:type="gramEnd"/>
      <w:r w:rsidRPr="00772D67">
        <w:rPr>
          <w:rFonts w:asciiTheme="majorHAnsi" w:hAnsiTheme="majorHAnsi" w:cs="Arial"/>
          <w:sz w:val="24"/>
          <w:szCs w:val="24"/>
        </w:rPr>
        <w:t xml:space="preserve"> score 1.0 for best targets, 2.0 good, 3.0 relatively poor)</w:t>
      </w:r>
    </w:p>
    <w:p w:rsidR="001934B2" w:rsidRPr="00772D67" w:rsidRDefault="001934B2" w:rsidP="001934B2">
      <w:pPr>
        <w:pStyle w:val="ListParagraph"/>
        <w:ind w:left="1080"/>
        <w:jc w:val="both"/>
        <w:rPr>
          <w:rFonts w:asciiTheme="majorHAnsi" w:hAnsiTheme="majorHAnsi" w:cs="Arial"/>
          <w:sz w:val="24"/>
          <w:szCs w:val="24"/>
        </w:rPr>
      </w:pPr>
    </w:p>
    <w:p w:rsidR="001934B2" w:rsidRPr="00772D67" w:rsidRDefault="001934B2" w:rsidP="001934B2">
      <w:pPr>
        <w:pStyle w:val="ListParagraph"/>
        <w:numPr>
          <w:ilvl w:val="0"/>
          <w:numId w:val="6"/>
        </w:numPr>
        <w:jc w:val="both"/>
        <w:rPr>
          <w:rFonts w:asciiTheme="majorHAnsi" w:hAnsiTheme="majorHAnsi" w:cs="Arial"/>
          <w:sz w:val="24"/>
          <w:szCs w:val="24"/>
        </w:rPr>
      </w:pPr>
      <w:r w:rsidRPr="00772D67">
        <w:rPr>
          <w:rFonts w:asciiTheme="majorHAnsi" w:hAnsiTheme="majorHAnsi" w:cs="Arial"/>
          <w:sz w:val="24"/>
          <w:szCs w:val="24"/>
        </w:rPr>
        <w:t xml:space="preserve">Magnitude of the sensitivity is average to large.  Higher scores should be given to greater sensitivity.  </w:t>
      </w:r>
    </w:p>
    <w:p w:rsidR="001934B2" w:rsidRPr="00772D67" w:rsidRDefault="001934B2" w:rsidP="001934B2">
      <w:pPr>
        <w:pStyle w:val="ListParagraph"/>
        <w:ind w:left="1080"/>
        <w:jc w:val="both"/>
        <w:rPr>
          <w:rFonts w:asciiTheme="majorHAnsi" w:hAnsiTheme="majorHAnsi" w:cs="Arial"/>
          <w:sz w:val="24"/>
          <w:szCs w:val="24"/>
        </w:rPr>
      </w:pPr>
      <w:r w:rsidRPr="00772D67">
        <w:rPr>
          <w:rFonts w:asciiTheme="majorHAnsi" w:hAnsiTheme="majorHAnsi" w:cs="Arial"/>
          <w:sz w:val="24"/>
          <w:szCs w:val="24"/>
        </w:rPr>
        <w:t>(</w:t>
      </w:r>
      <w:proofErr w:type="gramStart"/>
      <w:r w:rsidRPr="00772D67">
        <w:rPr>
          <w:rFonts w:asciiTheme="majorHAnsi" w:hAnsiTheme="majorHAnsi" w:cs="Arial"/>
          <w:sz w:val="24"/>
          <w:szCs w:val="24"/>
        </w:rPr>
        <w:t>qualitative</w:t>
      </w:r>
      <w:proofErr w:type="gramEnd"/>
      <w:r w:rsidRPr="00772D67">
        <w:rPr>
          <w:rFonts w:asciiTheme="majorHAnsi" w:hAnsiTheme="majorHAnsi" w:cs="Arial"/>
          <w:sz w:val="24"/>
          <w:szCs w:val="24"/>
        </w:rPr>
        <w:t xml:space="preserve"> score 1.0 for large sensitivity, 2.0 average sensitivity, 3.0 relatively weak sensitivity)</w:t>
      </w:r>
    </w:p>
    <w:p w:rsidR="001934B2" w:rsidRPr="00772D67" w:rsidRDefault="001934B2" w:rsidP="001934B2">
      <w:pPr>
        <w:pStyle w:val="ListParagraph"/>
        <w:ind w:left="1080"/>
        <w:jc w:val="both"/>
        <w:rPr>
          <w:rFonts w:asciiTheme="majorHAnsi" w:hAnsiTheme="majorHAnsi" w:cs="Arial"/>
          <w:sz w:val="24"/>
          <w:szCs w:val="24"/>
        </w:rPr>
      </w:pPr>
    </w:p>
    <w:p w:rsidR="001934B2" w:rsidRPr="00772D67" w:rsidRDefault="001934B2" w:rsidP="001934B2">
      <w:pPr>
        <w:numPr>
          <w:ilvl w:val="0"/>
          <w:numId w:val="6"/>
        </w:numPr>
        <w:jc w:val="both"/>
        <w:rPr>
          <w:rFonts w:asciiTheme="majorHAnsi" w:hAnsiTheme="majorHAnsi" w:cs="Arial"/>
          <w:sz w:val="24"/>
          <w:szCs w:val="24"/>
        </w:rPr>
      </w:pPr>
      <w:r w:rsidRPr="00772D67">
        <w:rPr>
          <w:rFonts w:asciiTheme="majorHAnsi" w:hAnsiTheme="majorHAnsi" w:cs="Arial"/>
          <w:sz w:val="24"/>
          <w:szCs w:val="24"/>
        </w:rPr>
        <w:t>Average predictability score</w:t>
      </w:r>
    </w:p>
    <w:p w:rsidR="001934B2" w:rsidRPr="00772D67" w:rsidRDefault="001934B2" w:rsidP="001934B2">
      <w:pPr>
        <w:numPr>
          <w:ilvl w:val="1"/>
          <w:numId w:val="6"/>
        </w:numPr>
        <w:jc w:val="both"/>
        <w:rPr>
          <w:rFonts w:asciiTheme="majorHAnsi" w:hAnsiTheme="majorHAnsi" w:cs="Arial"/>
          <w:sz w:val="24"/>
          <w:szCs w:val="24"/>
        </w:rPr>
      </w:pPr>
      <w:r w:rsidRPr="00772D67">
        <w:rPr>
          <w:rFonts w:asciiTheme="majorHAnsi" w:hAnsiTheme="majorHAnsi" w:cs="Arial"/>
          <w:sz w:val="24"/>
          <w:szCs w:val="24"/>
        </w:rPr>
        <w:t>A grade (1.0-1.9) (green color in Table 4.3)</w:t>
      </w:r>
    </w:p>
    <w:p w:rsidR="001934B2" w:rsidRPr="00772D67" w:rsidRDefault="001934B2" w:rsidP="001934B2">
      <w:pPr>
        <w:numPr>
          <w:ilvl w:val="1"/>
          <w:numId w:val="6"/>
        </w:numPr>
        <w:jc w:val="both"/>
        <w:rPr>
          <w:rFonts w:asciiTheme="majorHAnsi" w:hAnsiTheme="majorHAnsi" w:cs="Arial"/>
          <w:sz w:val="24"/>
          <w:szCs w:val="24"/>
        </w:rPr>
      </w:pPr>
      <w:r w:rsidRPr="00772D67">
        <w:rPr>
          <w:rFonts w:asciiTheme="majorHAnsi" w:hAnsiTheme="majorHAnsi" w:cs="Arial"/>
          <w:sz w:val="24"/>
          <w:szCs w:val="24"/>
        </w:rPr>
        <w:t>B grade (2.0-2.9) (yellow color in Table 4.3)</w:t>
      </w:r>
    </w:p>
    <w:p w:rsidR="001934B2" w:rsidRPr="00772D67" w:rsidRDefault="001934B2" w:rsidP="001934B2">
      <w:pPr>
        <w:numPr>
          <w:ilvl w:val="1"/>
          <w:numId w:val="6"/>
        </w:numPr>
        <w:jc w:val="both"/>
        <w:rPr>
          <w:rFonts w:asciiTheme="majorHAnsi" w:hAnsiTheme="majorHAnsi" w:cs="Arial"/>
          <w:sz w:val="24"/>
          <w:szCs w:val="24"/>
        </w:rPr>
      </w:pPr>
      <w:r w:rsidRPr="00772D67">
        <w:rPr>
          <w:rFonts w:asciiTheme="majorHAnsi" w:hAnsiTheme="majorHAnsi" w:cs="Arial"/>
          <w:sz w:val="24"/>
          <w:szCs w:val="24"/>
        </w:rPr>
        <w:t>C grade (&gt;3.0) (red color in Table 4.3)</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It is possible to combine a gravity wave mission over Tasmania with a predictability mission, if the targets can be flown over during the G-V ferry legs.  </w:t>
      </w: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 xml:space="preserve">These simple criteria can be used to summarize the forecaster DEEPWAVE mission outlook in a single spreadsheet, shown in Table 4.3.  Here the green color indicates an excellent outlook for gravity waves or predictability targets, yellow is good, and red is relatively poor.  We anticipate the spreadsheet will be included in the DEEPWAVE EOL catalog.  Scores for Southern Ocean flights are qualitative based on the forecaster expectation for gravity waves from the models or based on conceptual models. </w:t>
      </w: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Pr="00772D67" w:rsidRDefault="001934B2" w:rsidP="001934B2">
      <w:pPr>
        <w:rPr>
          <w:rFonts w:asciiTheme="majorHAnsi" w:hAnsiTheme="majorHAnsi" w:cs="Arial"/>
          <w:sz w:val="24"/>
          <w:szCs w:val="24"/>
        </w:rPr>
      </w:pPr>
      <w:r w:rsidRPr="00772D67">
        <w:rPr>
          <w:rFonts w:asciiTheme="majorHAnsi" w:hAnsiTheme="majorHAnsi" w:cs="Arial"/>
          <w:sz w:val="24"/>
          <w:szCs w:val="24"/>
        </w:rPr>
        <w:t xml:space="preserve">Table 4.3.  </w:t>
      </w:r>
      <w:proofErr w:type="gramStart"/>
      <w:r w:rsidRPr="00772D67">
        <w:rPr>
          <w:rFonts w:asciiTheme="majorHAnsi" w:hAnsiTheme="majorHAnsi" w:cs="Arial"/>
          <w:sz w:val="24"/>
          <w:szCs w:val="24"/>
        </w:rPr>
        <w:t>Example spreadsheet summarizing the forecast outlook for various DEEPWAVE mission targets.</w:t>
      </w:r>
      <w:proofErr w:type="gramEnd"/>
      <w:r w:rsidRPr="00772D67">
        <w:rPr>
          <w:rFonts w:asciiTheme="majorHAnsi" w:hAnsiTheme="majorHAnsi" w:cs="Arial"/>
          <w:sz w:val="24"/>
          <w:szCs w:val="24"/>
        </w:rPr>
        <w:t xml:space="preserve">  </w:t>
      </w:r>
    </w:p>
    <w:tbl>
      <w:tblPr>
        <w:tblW w:w="7240" w:type="dxa"/>
        <w:tblInd w:w="1440" w:type="dxa"/>
        <w:tblCellMar>
          <w:left w:w="0" w:type="dxa"/>
          <w:right w:w="0" w:type="dxa"/>
        </w:tblCellMar>
        <w:tblLook w:val="0420"/>
      </w:tblPr>
      <w:tblGrid>
        <w:gridCol w:w="1212"/>
        <w:gridCol w:w="755"/>
        <w:gridCol w:w="753"/>
        <w:gridCol w:w="753"/>
        <w:gridCol w:w="753"/>
        <w:gridCol w:w="753"/>
        <w:gridCol w:w="753"/>
        <w:gridCol w:w="754"/>
        <w:gridCol w:w="754"/>
      </w:tblGrid>
      <w:tr w:rsidR="001934B2" w:rsidRPr="00772D67" w:rsidTr="00171A01">
        <w:trPr>
          <w:trHeight w:val="565"/>
        </w:trPr>
        <w:tc>
          <w:tcPr>
            <w:tcW w:w="12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Mission</w:t>
            </w:r>
          </w:p>
        </w:tc>
        <w:tc>
          <w:tcPr>
            <w:tcW w:w="7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Day 1</w:t>
            </w:r>
          </w:p>
        </w:tc>
        <w:tc>
          <w:tcPr>
            <w:tcW w:w="7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24h</w:t>
            </w:r>
          </w:p>
        </w:tc>
        <w:tc>
          <w:tcPr>
            <w:tcW w:w="7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30h</w:t>
            </w:r>
          </w:p>
        </w:tc>
        <w:tc>
          <w:tcPr>
            <w:tcW w:w="7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36h</w:t>
            </w:r>
          </w:p>
        </w:tc>
        <w:tc>
          <w:tcPr>
            <w:tcW w:w="7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42h</w:t>
            </w:r>
          </w:p>
        </w:tc>
        <w:tc>
          <w:tcPr>
            <w:tcW w:w="7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48h</w:t>
            </w:r>
          </w:p>
        </w:tc>
        <w:tc>
          <w:tcPr>
            <w:tcW w:w="7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Day 3</w:t>
            </w:r>
          </w:p>
        </w:tc>
        <w:tc>
          <w:tcPr>
            <w:tcW w:w="7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b/>
                <w:color w:val="FFFFFF" w:themeColor="background1"/>
                <w:sz w:val="16"/>
                <w:szCs w:val="16"/>
              </w:rPr>
            </w:pPr>
            <w:r w:rsidRPr="00772D67">
              <w:rPr>
                <w:rFonts w:asciiTheme="majorHAnsi" w:hAnsiTheme="majorHAnsi" w:cs="Arial"/>
                <w:b/>
                <w:bCs/>
                <w:color w:val="FFFFFF" w:themeColor="background1"/>
                <w:sz w:val="16"/>
                <w:szCs w:val="16"/>
              </w:rPr>
              <w:t>Day 4</w:t>
            </w:r>
          </w:p>
        </w:tc>
      </w:tr>
      <w:tr w:rsidR="001934B2" w:rsidRPr="00772D67" w:rsidTr="00171A01">
        <w:trPr>
          <w:trHeight w:val="426"/>
        </w:trPr>
        <w:tc>
          <w:tcPr>
            <w:tcW w:w="12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r w:rsidRPr="00772D67">
              <w:rPr>
                <w:rFonts w:asciiTheme="majorHAnsi" w:hAnsiTheme="majorHAnsi" w:cs="Arial"/>
                <w:b/>
                <w:bCs/>
                <w:sz w:val="16"/>
                <w:szCs w:val="16"/>
              </w:rPr>
              <w:t>New Zealand</w:t>
            </w:r>
          </w:p>
        </w:tc>
        <w:tc>
          <w:tcPr>
            <w:tcW w:w="755" w:type="dxa"/>
            <w:tcBorders>
              <w:top w:val="single" w:sz="24" w:space="0" w:color="FFFFFF"/>
              <w:left w:val="single" w:sz="8" w:space="0" w:color="FFFFFF"/>
              <w:bottom w:val="single" w:sz="8" w:space="0" w:color="FFFFFF"/>
              <w:right w:val="single" w:sz="8" w:space="0" w:color="FFFFFF"/>
            </w:tcBorders>
            <w:shd w:val="clear" w:color="auto" w:fill="C0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24"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24"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24"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24"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24"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24"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24"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r>
      <w:tr w:rsidR="001934B2" w:rsidRPr="00772D67" w:rsidTr="00171A01">
        <w:trPr>
          <w:trHeight w:val="439"/>
        </w:trPr>
        <w:tc>
          <w:tcPr>
            <w:tcW w:w="12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r w:rsidRPr="00772D67">
              <w:rPr>
                <w:rFonts w:asciiTheme="majorHAnsi" w:hAnsiTheme="majorHAnsi" w:cs="Arial"/>
                <w:b/>
                <w:bCs/>
                <w:sz w:val="16"/>
                <w:szCs w:val="16"/>
              </w:rPr>
              <w:t>Tasmania</w:t>
            </w:r>
          </w:p>
        </w:tc>
        <w:tc>
          <w:tcPr>
            <w:tcW w:w="755"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r>
      <w:tr w:rsidR="001934B2" w:rsidRPr="00772D67" w:rsidTr="00171A01">
        <w:trPr>
          <w:trHeight w:val="484"/>
        </w:trPr>
        <w:tc>
          <w:tcPr>
            <w:tcW w:w="12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bCs/>
                <w:sz w:val="16"/>
                <w:szCs w:val="16"/>
              </w:rPr>
            </w:pPr>
            <w:r w:rsidRPr="00772D67">
              <w:rPr>
                <w:rFonts w:asciiTheme="majorHAnsi" w:hAnsiTheme="majorHAnsi" w:cs="Arial"/>
                <w:b/>
                <w:bCs/>
                <w:sz w:val="16"/>
                <w:szCs w:val="16"/>
              </w:rPr>
              <w:t>Auckland</w:t>
            </w:r>
            <w:r w:rsidRPr="00772D67">
              <w:rPr>
                <w:rFonts w:asciiTheme="majorHAnsi" w:hAnsiTheme="majorHAnsi" w:cs="Arial"/>
                <w:b/>
                <w:sz w:val="16"/>
                <w:szCs w:val="16"/>
              </w:rPr>
              <w:t xml:space="preserve"> </w:t>
            </w:r>
            <w:r w:rsidRPr="00772D67">
              <w:rPr>
                <w:rFonts w:asciiTheme="majorHAnsi" w:hAnsiTheme="majorHAnsi" w:cs="Arial"/>
                <w:b/>
                <w:bCs/>
                <w:sz w:val="16"/>
                <w:szCs w:val="16"/>
              </w:rPr>
              <w:t>&amp; Macquarie</w:t>
            </w:r>
          </w:p>
        </w:tc>
        <w:tc>
          <w:tcPr>
            <w:tcW w:w="755"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spacing w:after="0" w:line="240" w:lineRule="auto"/>
              <w:rPr>
                <w:rFonts w:asciiTheme="majorHAnsi" w:hAnsiTheme="majorHAnsi" w:cs="Arial"/>
                <w:b/>
                <w:sz w:val="16"/>
                <w:szCs w:val="16"/>
              </w:rPr>
            </w:pPr>
          </w:p>
        </w:tc>
      </w:tr>
      <w:tr w:rsidR="001934B2" w:rsidRPr="00772D67" w:rsidTr="00171A01">
        <w:trPr>
          <w:trHeight w:val="403"/>
        </w:trPr>
        <w:tc>
          <w:tcPr>
            <w:tcW w:w="12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r w:rsidRPr="00772D67">
              <w:rPr>
                <w:rFonts w:asciiTheme="majorHAnsi" w:hAnsiTheme="majorHAnsi" w:cs="Arial"/>
                <w:b/>
                <w:bCs/>
                <w:sz w:val="16"/>
                <w:szCs w:val="16"/>
              </w:rPr>
              <w:t>S. Ocean</w:t>
            </w:r>
          </w:p>
        </w:tc>
        <w:tc>
          <w:tcPr>
            <w:tcW w:w="755"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r>
      <w:tr w:rsidR="001934B2" w:rsidRPr="00772D67" w:rsidTr="00171A01">
        <w:trPr>
          <w:trHeight w:val="457"/>
        </w:trPr>
        <w:tc>
          <w:tcPr>
            <w:tcW w:w="12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r w:rsidRPr="00772D67">
              <w:rPr>
                <w:rFonts w:asciiTheme="majorHAnsi" w:hAnsiTheme="majorHAnsi" w:cs="Arial"/>
                <w:b/>
                <w:bCs/>
                <w:sz w:val="16"/>
                <w:szCs w:val="16"/>
              </w:rPr>
              <w:t>Predictability</w:t>
            </w:r>
          </w:p>
        </w:tc>
        <w:tc>
          <w:tcPr>
            <w:tcW w:w="755"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3"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008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c>
          <w:tcPr>
            <w:tcW w:w="754"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1934B2" w:rsidRPr="00772D67" w:rsidRDefault="001934B2" w:rsidP="00171A01">
            <w:pPr>
              <w:rPr>
                <w:rFonts w:asciiTheme="majorHAnsi" w:hAnsiTheme="majorHAnsi" w:cs="Arial"/>
                <w:b/>
                <w:sz w:val="16"/>
                <w:szCs w:val="16"/>
              </w:rPr>
            </w:pPr>
          </w:p>
        </w:tc>
      </w:tr>
    </w:tbl>
    <w:p w:rsidR="001934B2" w:rsidRPr="00772D67" w:rsidRDefault="001934B2" w:rsidP="001934B2">
      <w:pPr>
        <w:rPr>
          <w:rFonts w:asciiTheme="majorHAnsi" w:hAnsiTheme="majorHAnsi" w:cs="Arial"/>
          <w:b/>
          <w:sz w:val="16"/>
          <w:szCs w:val="16"/>
        </w:rPr>
      </w:pPr>
    </w:p>
    <w:p w:rsidR="001934B2" w:rsidRPr="00772D67" w:rsidRDefault="001934B2" w:rsidP="001934B2">
      <w:pPr>
        <w:jc w:val="both"/>
        <w:rPr>
          <w:rFonts w:asciiTheme="majorHAnsi" w:hAnsiTheme="majorHAnsi" w:cs="Arial"/>
          <w:sz w:val="24"/>
          <w:szCs w:val="24"/>
        </w:rPr>
      </w:pPr>
      <w:r w:rsidRPr="00772D67">
        <w:rPr>
          <w:rFonts w:asciiTheme="majorHAnsi" w:hAnsiTheme="majorHAnsi" w:cs="Arial"/>
          <w:sz w:val="24"/>
          <w:szCs w:val="24"/>
        </w:rPr>
        <w:t>Given the complexity of the forecast process for DEEPWAVE, providing an overall summary will be desirable.  An example of such a summary is shown in Table 4.4, which gives highlights of the outlook for each type of DEEPWAVE mission.  We anticipate that this summary spreadsheet will be available in the DEEPWAVE EOL catalog.</w:t>
      </w: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Pr="00772D67" w:rsidRDefault="001934B2" w:rsidP="001934B2">
      <w:pPr>
        <w:jc w:val="both"/>
        <w:rPr>
          <w:rFonts w:asciiTheme="majorHAnsi" w:hAnsiTheme="majorHAnsi" w:cs="Arial"/>
          <w:sz w:val="24"/>
          <w:szCs w:val="24"/>
        </w:rPr>
      </w:pPr>
    </w:p>
    <w:p w:rsidR="001934B2" w:rsidRDefault="001934B2" w:rsidP="001934B2">
      <w:pPr>
        <w:jc w:val="both"/>
        <w:rPr>
          <w:rFonts w:asciiTheme="majorHAnsi" w:hAnsiTheme="majorHAnsi" w:cs="Arial"/>
          <w:sz w:val="24"/>
          <w:szCs w:val="24"/>
        </w:rPr>
      </w:pPr>
    </w:p>
    <w:p w:rsidR="008B33A0" w:rsidRDefault="008B33A0" w:rsidP="001934B2">
      <w:pPr>
        <w:jc w:val="both"/>
        <w:rPr>
          <w:rFonts w:asciiTheme="majorHAnsi" w:hAnsiTheme="majorHAnsi" w:cs="Arial"/>
          <w:sz w:val="24"/>
          <w:szCs w:val="24"/>
        </w:rPr>
      </w:pPr>
    </w:p>
    <w:p w:rsidR="008B33A0" w:rsidRDefault="008B33A0" w:rsidP="001934B2">
      <w:pPr>
        <w:jc w:val="both"/>
        <w:rPr>
          <w:rFonts w:asciiTheme="majorHAnsi" w:hAnsiTheme="majorHAnsi" w:cs="Arial"/>
          <w:sz w:val="24"/>
          <w:szCs w:val="24"/>
        </w:rPr>
      </w:pPr>
    </w:p>
    <w:p w:rsidR="008B33A0" w:rsidRDefault="008B33A0" w:rsidP="001934B2">
      <w:pPr>
        <w:jc w:val="both"/>
        <w:rPr>
          <w:rFonts w:asciiTheme="majorHAnsi" w:hAnsiTheme="majorHAnsi" w:cs="Arial"/>
          <w:sz w:val="24"/>
          <w:szCs w:val="24"/>
        </w:rPr>
      </w:pPr>
    </w:p>
    <w:p w:rsidR="008B33A0" w:rsidRDefault="008B33A0" w:rsidP="001934B2">
      <w:pPr>
        <w:jc w:val="both"/>
        <w:rPr>
          <w:rFonts w:asciiTheme="majorHAnsi" w:hAnsiTheme="majorHAnsi" w:cs="Arial"/>
          <w:sz w:val="24"/>
          <w:szCs w:val="24"/>
        </w:rPr>
      </w:pPr>
    </w:p>
    <w:p w:rsidR="008B33A0" w:rsidRDefault="008B33A0" w:rsidP="001934B2">
      <w:pPr>
        <w:jc w:val="both"/>
        <w:rPr>
          <w:rFonts w:asciiTheme="majorHAnsi" w:hAnsiTheme="majorHAnsi" w:cs="Arial"/>
          <w:sz w:val="24"/>
          <w:szCs w:val="24"/>
        </w:rPr>
      </w:pPr>
    </w:p>
    <w:p w:rsidR="008B33A0" w:rsidRDefault="008B33A0" w:rsidP="008B33A0">
      <w:pPr>
        <w:rPr>
          <w:rFonts w:asciiTheme="majorHAnsi" w:hAnsiTheme="majorHAnsi" w:cs="Arial"/>
          <w:sz w:val="24"/>
          <w:szCs w:val="24"/>
        </w:rPr>
      </w:pPr>
      <w:proofErr w:type="gramStart"/>
      <w:r w:rsidRPr="00772D67">
        <w:rPr>
          <w:rFonts w:asciiTheme="majorHAnsi" w:hAnsiTheme="majorHAnsi" w:cs="Arial"/>
          <w:sz w:val="24"/>
          <w:szCs w:val="24"/>
        </w:rPr>
        <w:lastRenderedPageBreak/>
        <w:t>Table 4.</w:t>
      </w:r>
      <w:r>
        <w:rPr>
          <w:rFonts w:asciiTheme="majorHAnsi" w:hAnsiTheme="majorHAnsi" w:cs="Arial"/>
          <w:sz w:val="24"/>
          <w:szCs w:val="24"/>
        </w:rPr>
        <w:t>4</w:t>
      </w:r>
      <w:r w:rsidRPr="00772D67">
        <w:rPr>
          <w:rFonts w:asciiTheme="majorHAnsi" w:hAnsiTheme="majorHAnsi" w:cs="Arial"/>
          <w:sz w:val="24"/>
          <w:szCs w:val="24"/>
        </w:rPr>
        <w:t>.</w:t>
      </w:r>
      <w:proofErr w:type="gramEnd"/>
      <w:r w:rsidRPr="00772D67">
        <w:rPr>
          <w:rFonts w:asciiTheme="majorHAnsi" w:hAnsiTheme="majorHAnsi" w:cs="Arial"/>
          <w:sz w:val="24"/>
          <w:szCs w:val="24"/>
        </w:rPr>
        <w:t xml:space="preserve">  Example </w:t>
      </w:r>
      <w:r>
        <w:rPr>
          <w:rFonts w:asciiTheme="majorHAnsi" w:hAnsiTheme="majorHAnsi" w:cs="Arial"/>
          <w:sz w:val="24"/>
          <w:szCs w:val="24"/>
        </w:rPr>
        <w:t xml:space="preserve">Turbulence Forecast form.  </w:t>
      </w:r>
      <w:proofErr w:type="gramStart"/>
      <w:r>
        <w:rPr>
          <w:rFonts w:asciiTheme="majorHAnsi" w:hAnsiTheme="majorHAnsi" w:cs="Arial"/>
          <w:sz w:val="24"/>
          <w:szCs w:val="24"/>
        </w:rPr>
        <w:t>Will be completed daily to assist pilots in flight planning and turbulence avoidance.</w:t>
      </w:r>
      <w:proofErr w:type="gramEnd"/>
      <w:r>
        <w:rPr>
          <w:rFonts w:asciiTheme="majorHAnsi" w:hAnsiTheme="majorHAnsi" w:cs="Arial"/>
          <w:sz w:val="24"/>
          <w:szCs w:val="24"/>
        </w:rPr>
        <w:t xml:space="preserve"> </w:t>
      </w:r>
    </w:p>
    <w:p w:rsidR="001934B2" w:rsidRPr="00772D67" w:rsidRDefault="008B33A0" w:rsidP="008B33A0">
      <w:pPr>
        <w:rPr>
          <w:rFonts w:asciiTheme="majorHAnsi" w:hAnsiTheme="majorHAnsi" w:cs="Arial"/>
          <w:sz w:val="24"/>
          <w:szCs w:val="24"/>
        </w:rPr>
      </w:pPr>
      <w:r>
        <w:rPr>
          <w:rFonts w:asciiTheme="majorHAnsi" w:hAnsiTheme="majorHAnsi" w:cs="Arial"/>
          <w:noProof/>
          <w:sz w:val="24"/>
          <w:szCs w:val="24"/>
        </w:rPr>
        <w:drawing>
          <wp:inline distT="0" distB="0" distL="0" distR="0">
            <wp:extent cx="5486400" cy="7279016"/>
            <wp:effectExtent l="19050" t="0" r="0" b="0"/>
            <wp:docPr id="1" name="Picture 1" descr="C:\Users\charnick\Desktop\DEEPWAVE\Forecasting\DEEPWAVE Turbulence Brie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nick\Desktop\DEEPWAVE\Forecasting\DEEPWAVE Turbulence Briefing.png"/>
                    <pic:cNvPicPr>
                      <a:picLocks noChangeAspect="1" noChangeArrowheads="1"/>
                    </pic:cNvPicPr>
                  </pic:nvPicPr>
                  <pic:blipFill>
                    <a:blip r:embed="rId5"/>
                    <a:srcRect/>
                    <a:stretch>
                      <a:fillRect/>
                    </a:stretch>
                  </pic:blipFill>
                  <pic:spPr bwMode="auto">
                    <a:xfrm>
                      <a:off x="0" y="0"/>
                      <a:ext cx="5486400" cy="7279016"/>
                    </a:xfrm>
                    <a:prstGeom prst="rect">
                      <a:avLst/>
                    </a:prstGeom>
                    <a:noFill/>
                    <a:ln w="9525">
                      <a:noFill/>
                      <a:miter lim="800000"/>
                      <a:headEnd/>
                      <a:tailEnd/>
                    </a:ln>
                  </pic:spPr>
                </pic:pic>
              </a:graphicData>
            </a:graphic>
          </wp:inline>
        </w:drawing>
      </w:r>
    </w:p>
    <w:p w:rsidR="001934B2" w:rsidRPr="00772D67" w:rsidRDefault="001934B2" w:rsidP="001934B2">
      <w:pPr>
        <w:rPr>
          <w:rFonts w:asciiTheme="majorHAnsi" w:hAnsiTheme="majorHAnsi" w:cs="Arial"/>
          <w:sz w:val="24"/>
          <w:szCs w:val="24"/>
        </w:rPr>
      </w:pPr>
      <w:proofErr w:type="gramStart"/>
      <w:r w:rsidRPr="00772D67">
        <w:rPr>
          <w:rFonts w:asciiTheme="majorHAnsi" w:hAnsiTheme="majorHAnsi" w:cs="Arial"/>
          <w:sz w:val="24"/>
          <w:szCs w:val="24"/>
        </w:rPr>
        <w:lastRenderedPageBreak/>
        <w:t>Table 4.</w:t>
      </w:r>
      <w:r w:rsidR="008B33A0">
        <w:rPr>
          <w:rFonts w:asciiTheme="majorHAnsi" w:hAnsiTheme="majorHAnsi" w:cs="Arial"/>
          <w:sz w:val="24"/>
          <w:szCs w:val="24"/>
        </w:rPr>
        <w:t>5</w:t>
      </w:r>
      <w:r w:rsidRPr="00772D67">
        <w:rPr>
          <w:rFonts w:asciiTheme="majorHAnsi" w:hAnsiTheme="majorHAnsi" w:cs="Arial"/>
          <w:sz w:val="24"/>
          <w:szCs w:val="24"/>
        </w:rPr>
        <w:t>.</w:t>
      </w:r>
      <w:proofErr w:type="gramEnd"/>
      <w:r w:rsidRPr="00772D67">
        <w:rPr>
          <w:rFonts w:asciiTheme="majorHAnsi" w:hAnsiTheme="majorHAnsi" w:cs="Arial"/>
          <w:sz w:val="24"/>
          <w:szCs w:val="24"/>
        </w:rPr>
        <w:t xml:space="preserve">  </w:t>
      </w:r>
      <w:proofErr w:type="gramStart"/>
      <w:r w:rsidRPr="00772D67">
        <w:rPr>
          <w:rFonts w:asciiTheme="majorHAnsi" w:hAnsiTheme="majorHAnsi" w:cs="Arial"/>
          <w:sz w:val="24"/>
          <w:szCs w:val="24"/>
        </w:rPr>
        <w:t>Example forecaster spreadsheet summarizing the prospects for various DEEPWAVE missions.</w:t>
      </w:r>
      <w:proofErr w:type="gramEnd"/>
    </w:p>
    <w:tbl>
      <w:tblPr>
        <w:tblW w:w="8514" w:type="dxa"/>
        <w:tblInd w:w="720" w:type="dxa"/>
        <w:tblCellMar>
          <w:left w:w="0" w:type="dxa"/>
          <w:right w:w="0" w:type="dxa"/>
        </w:tblCellMar>
        <w:tblLook w:val="0420"/>
      </w:tblPr>
      <w:tblGrid>
        <w:gridCol w:w="1880"/>
        <w:gridCol w:w="6634"/>
      </w:tblGrid>
      <w:tr w:rsidR="001934B2" w:rsidRPr="00772D67" w:rsidTr="00171A01">
        <w:trPr>
          <w:trHeight w:val="725"/>
        </w:trPr>
        <w:tc>
          <w:tcPr>
            <w:tcW w:w="18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color w:val="FFFFFF" w:themeColor="background1"/>
                <w:sz w:val="20"/>
                <w:szCs w:val="20"/>
              </w:rPr>
            </w:pPr>
            <w:r w:rsidRPr="00772D67">
              <w:rPr>
                <w:rFonts w:asciiTheme="majorHAnsi" w:hAnsiTheme="majorHAnsi" w:cs="Arial"/>
                <w:b/>
                <w:bCs/>
                <w:color w:val="FFFFFF" w:themeColor="background1"/>
                <w:sz w:val="20"/>
                <w:szCs w:val="20"/>
              </w:rPr>
              <w:t>Mission</w:t>
            </w:r>
          </w:p>
        </w:tc>
        <w:tc>
          <w:tcPr>
            <w:tcW w:w="663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1934B2" w:rsidRPr="00772D67" w:rsidRDefault="001934B2" w:rsidP="00171A01">
            <w:pPr>
              <w:rPr>
                <w:rFonts w:asciiTheme="majorHAnsi" w:hAnsiTheme="majorHAnsi" w:cs="Arial"/>
                <w:color w:val="FFFFFF" w:themeColor="background1"/>
                <w:sz w:val="20"/>
                <w:szCs w:val="20"/>
              </w:rPr>
            </w:pPr>
            <w:r w:rsidRPr="00772D67">
              <w:rPr>
                <w:rFonts w:asciiTheme="majorHAnsi" w:hAnsiTheme="majorHAnsi" w:cs="Arial"/>
                <w:b/>
                <w:bCs/>
                <w:color w:val="FFFFFF" w:themeColor="background1"/>
                <w:sz w:val="20"/>
                <w:szCs w:val="20"/>
              </w:rPr>
              <w:t>Summary Comments</w:t>
            </w:r>
          </w:p>
        </w:tc>
      </w:tr>
      <w:tr w:rsidR="001934B2" w:rsidRPr="00772D67" w:rsidTr="00171A01">
        <w:trPr>
          <w:trHeight w:val="462"/>
        </w:trPr>
        <w:tc>
          <w:tcPr>
            <w:tcW w:w="18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New Zealand</w:t>
            </w:r>
          </w:p>
        </w:tc>
        <w:tc>
          <w:tcPr>
            <w:tcW w:w="663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Strong cross mountain flow on Days 1-2.  Trailing waves Days 1-2; Not promising beyond</w:t>
            </w:r>
          </w:p>
        </w:tc>
      </w:tr>
      <w:tr w:rsidR="001934B2" w:rsidRPr="00772D67" w:rsidTr="00171A01">
        <w:trPr>
          <w:trHeight w:val="619"/>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Tasmania</w:t>
            </w:r>
          </w:p>
        </w:tc>
        <w:tc>
          <w:tcPr>
            <w:tcW w:w="66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Weaker GWs than last case, with transient GWs on Day 2.  Back to back 9 h flights only possible w/ double crewing beginning at 72h</w:t>
            </w:r>
          </w:p>
        </w:tc>
      </w:tr>
      <w:tr w:rsidR="001934B2" w:rsidRPr="00772D67" w:rsidTr="00171A01">
        <w:trPr>
          <w:trHeight w:val="646"/>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Auckland Island</w:t>
            </w:r>
          </w:p>
        </w:tc>
        <w:tc>
          <w:tcPr>
            <w:tcW w:w="663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Flow is too weak to generate much wave activity through Day 4</w:t>
            </w:r>
          </w:p>
        </w:tc>
      </w:tr>
      <w:tr w:rsidR="001934B2" w:rsidRPr="00772D67" w:rsidTr="00171A01">
        <w:trPr>
          <w:trHeight w:val="682"/>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Macquarie Island</w:t>
            </w:r>
          </w:p>
        </w:tc>
        <w:tc>
          <w:tcPr>
            <w:tcW w:w="66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20+ m/s NW flow increasing during 0600-1500 UTC on Day 2.  Shallow waves indicated from models.</w:t>
            </w:r>
          </w:p>
        </w:tc>
      </w:tr>
      <w:tr w:rsidR="001934B2" w:rsidRPr="00772D67" w:rsidTr="00171A01">
        <w:trPr>
          <w:trHeight w:val="655"/>
        </w:trPr>
        <w:tc>
          <w:tcPr>
            <w:tcW w:w="18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Non-</w:t>
            </w:r>
            <w:proofErr w:type="spellStart"/>
            <w:r w:rsidRPr="00772D67">
              <w:rPr>
                <w:rFonts w:asciiTheme="majorHAnsi" w:hAnsiTheme="majorHAnsi" w:cs="Arial"/>
                <w:sz w:val="20"/>
                <w:szCs w:val="20"/>
              </w:rPr>
              <w:t>orogr</w:t>
            </w:r>
            <w:proofErr w:type="spellEnd"/>
            <w:r w:rsidRPr="00772D67">
              <w:rPr>
                <w:rFonts w:asciiTheme="majorHAnsi" w:hAnsiTheme="majorHAnsi" w:cs="Arial"/>
                <w:sz w:val="20"/>
                <w:szCs w:val="20"/>
              </w:rPr>
              <w:t>. GWs</w:t>
            </w:r>
          </w:p>
        </w:tc>
        <w:tc>
          <w:tcPr>
            <w:tcW w:w="663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ECMWF and COAMPS forecasts are not indicating non-orographic waves through Day 3.</w:t>
            </w:r>
          </w:p>
        </w:tc>
      </w:tr>
      <w:tr w:rsidR="001934B2" w:rsidRPr="00772D67" w:rsidTr="00171A01">
        <w:trPr>
          <w:trHeight w:val="556"/>
        </w:trPr>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Targeting</w:t>
            </w:r>
          </w:p>
        </w:tc>
        <w:tc>
          <w:tcPr>
            <w:tcW w:w="66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934B2" w:rsidRPr="00772D67" w:rsidRDefault="001934B2" w:rsidP="00171A01">
            <w:pPr>
              <w:rPr>
                <w:rFonts w:asciiTheme="majorHAnsi" w:hAnsiTheme="majorHAnsi" w:cs="Arial"/>
                <w:sz w:val="20"/>
                <w:szCs w:val="20"/>
              </w:rPr>
            </w:pPr>
            <w:r w:rsidRPr="00772D67">
              <w:rPr>
                <w:rFonts w:asciiTheme="majorHAnsi" w:hAnsiTheme="majorHAnsi" w:cs="Arial"/>
                <w:sz w:val="20"/>
                <w:szCs w:val="20"/>
              </w:rPr>
              <w:t xml:space="preserve">Targets upstream of NZ are too </w:t>
            </w:r>
            <w:proofErr w:type="gramStart"/>
            <w:r w:rsidRPr="00772D67">
              <w:rPr>
                <w:rFonts w:asciiTheme="majorHAnsi" w:hAnsiTheme="majorHAnsi" w:cs="Arial"/>
                <w:sz w:val="20"/>
                <w:szCs w:val="20"/>
              </w:rPr>
              <w:t>widespread,</w:t>
            </w:r>
            <w:proofErr w:type="gramEnd"/>
            <w:r w:rsidRPr="00772D67">
              <w:rPr>
                <w:rFonts w:asciiTheme="majorHAnsi" w:hAnsiTheme="majorHAnsi" w:cs="Arial"/>
                <w:sz w:val="20"/>
                <w:szCs w:val="20"/>
              </w:rPr>
              <w:t xml:space="preserve"> flow is weak on Day 2. Targets upstream of Tasmania are too far for the G-V to reach.</w:t>
            </w:r>
          </w:p>
        </w:tc>
      </w:tr>
    </w:tbl>
    <w:p w:rsidR="001934B2" w:rsidRPr="00772D67" w:rsidRDefault="001934B2" w:rsidP="001934B2">
      <w:pPr>
        <w:rPr>
          <w:rFonts w:asciiTheme="majorHAnsi" w:hAnsiTheme="majorHAnsi" w:cs="Arial"/>
          <w:sz w:val="24"/>
          <w:szCs w:val="24"/>
        </w:rPr>
      </w:pPr>
    </w:p>
    <w:p w:rsidR="004D6BF3" w:rsidRDefault="004D6BF3"/>
    <w:sectPr w:rsidR="004D6BF3" w:rsidSect="00F67BB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427"/>
    <w:multiLevelType w:val="hybridMultilevel"/>
    <w:tmpl w:val="014C1472"/>
    <w:lvl w:ilvl="0" w:tplc="D586F0CE">
      <w:start w:val="1"/>
      <w:numFmt w:val="lowerRoman"/>
      <w:lvlText w:val="%1)"/>
      <w:lvlJc w:val="right"/>
      <w:pPr>
        <w:tabs>
          <w:tab w:val="num" w:pos="720"/>
        </w:tabs>
        <w:ind w:left="720" w:hanging="360"/>
      </w:pPr>
    </w:lvl>
    <w:lvl w:ilvl="1" w:tplc="984035E4" w:tentative="1">
      <w:start w:val="1"/>
      <w:numFmt w:val="lowerRoman"/>
      <w:lvlText w:val="%2)"/>
      <w:lvlJc w:val="right"/>
      <w:pPr>
        <w:tabs>
          <w:tab w:val="num" w:pos="1440"/>
        </w:tabs>
        <w:ind w:left="1440" w:hanging="360"/>
      </w:pPr>
    </w:lvl>
    <w:lvl w:ilvl="2" w:tplc="BF3864A0" w:tentative="1">
      <w:start w:val="1"/>
      <w:numFmt w:val="lowerRoman"/>
      <w:lvlText w:val="%3)"/>
      <w:lvlJc w:val="right"/>
      <w:pPr>
        <w:tabs>
          <w:tab w:val="num" w:pos="2160"/>
        </w:tabs>
        <w:ind w:left="2160" w:hanging="360"/>
      </w:pPr>
    </w:lvl>
    <w:lvl w:ilvl="3" w:tplc="DD3CD460" w:tentative="1">
      <w:start w:val="1"/>
      <w:numFmt w:val="lowerRoman"/>
      <w:lvlText w:val="%4)"/>
      <w:lvlJc w:val="right"/>
      <w:pPr>
        <w:tabs>
          <w:tab w:val="num" w:pos="2880"/>
        </w:tabs>
        <w:ind w:left="2880" w:hanging="360"/>
      </w:pPr>
    </w:lvl>
    <w:lvl w:ilvl="4" w:tplc="23A28970" w:tentative="1">
      <w:start w:val="1"/>
      <w:numFmt w:val="lowerRoman"/>
      <w:lvlText w:val="%5)"/>
      <w:lvlJc w:val="right"/>
      <w:pPr>
        <w:tabs>
          <w:tab w:val="num" w:pos="3600"/>
        </w:tabs>
        <w:ind w:left="3600" w:hanging="360"/>
      </w:pPr>
    </w:lvl>
    <w:lvl w:ilvl="5" w:tplc="31D65B8A" w:tentative="1">
      <w:start w:val="1"/>
      <w:numFmt w:val="lowerRoman"/>
      <w:lvlText w:val="%6)"/>
      <w:lvlJc w:val="right"/>
      <w:pPr>
        <w:tabs>
          <w:tab w:val="num" w:pos="4320"/>
        </w:tabs>
        <w:ind w:left="4320" w:hanging="360"/>
      </w:pPr>
    </w:lvl>
    <w:lvl w:ilvl="6" w:tplc="121C2CB4" w:tentative="1">
      <w:start w:val="1"/>
      <w:numFmt w:val="lowerRoman"/>
      <w:lvlText w:val="%7)"/>
      <w:lvlJc w:val="right"/>
      <w:pPr>
        <w:tabs>
          <w:tab w:val="num" w:pos="5040"/>
        </w:tabs>
        <w:ind w:left="5040" w:hanging="360"/>
      </w:pPr>
    </w:lvl>
    <w:lvl w:ilvl="7" w:tplc="5E80CD72" w:tentative="1">
      <w:start w:val="1"/>
      <w:numFmt w:val="lowerRoman"/>
      <w:lvlText w:val="%8)"/>
      <w:lvlJc w:val="right"/>
      <w:pPr>
        <w:tabs>
          <w:tab w:val="num" w:pos="5760"/>
        </w:tabs>
        <w:ind w:left="5760" w:hanging="360"/>
      </w:pPr>
    </w:lvl>
    <w:lvl w:ilvl="8" w:tplc="2AFC6722" w:tentative="1">
      <w:start w:val="1"/>
      <w:numFmt w:val="lowerRoman"/>
      <w:lvlText w:val="%9)"/>
      <w:lvlJc w:val="right"/>
      <w:pPr>
        <w:tabs>
          <w:tab w:val="num" w:pos="6480"/>
        </w:tabs>
        <w:ind w:left="6480" w:hanging="360"/>
      </w:pPr>
    </w:lvl>
  </w:abstractNum>
  <w:abstractNum w:abstractNumId="1">
    <w:nsid w:val="0FBE2ACC"/>
    <w:multiLevelType w:val="hybridMultilevel"/>
    <w:tmpl w:val="8B54B3BA"/>
    <w:lvl w:ilvl="0" w:tplc="1480E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E15673"/>
    <w:multiLevelType w:val="hybridMultilevel"/>
    <w:tmpl w:val="1AAC996C"/>
    <w:lvl w:ilvl="0" w:tplc="A8CC168A">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5707179"/>
    <w:multiLevelType w:val="hybridMultilevel"/>
    <w:tmpl w:val="8E64287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497FBF"/>
    <w:multiLevelType w:val="hybridMultilevel"/>
    <w:tmpl w:val="2A7EA48A"/>
    <w:lvl w:ilvl="0" w:tplc="FF0E58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A707B8"/>
    <w:multiLevelType w:val="hybridMultilevel"/>
    <w:tmpl w:val="FBE2A294"/>
    <w:lvl w:ilvl="0" w:tplc="70EED816">
      <w:start w:val="1"/>
      <w:numFmt w:val="decimal"/>
      <w:lvlText w:val="%1."/>
      <w:lvlJc w:val="left"/>
      <w:pPr>
        <w:tabs>
          <w:tab w:val="num" w:pos="1080"/>
        </w:tabs>
        <w:ind w:left="1080" w:hanging="360"/>
      </w:pPr>
      <w:rPr>
        <w:rFonts w:ascii="Arial" w:eastAsiaTheme="minorHAnsi" w:hAnsi="Arial" w:cs="Arial"/>
      </w:rPr>
    </w:lvl>
    <w:lvl w:ilvl="1" w:tplc="A636D0A0">
      <w:start w:val="1"/>
      <w:numFmt w:val="lowerLetter"/>
      <w:lvlText w:val="%2."/>
      <w:lvlJc w:val="left"/>
      <w:pPr>
        <w:tabs>
          <w:tab w:val="num" w:pos="1800"/>
        </w:tabs>
        <w:ind w:left="1800" w:hanging="360"/>
      </w:pPr>
      <w:rPr>
        <w:rFonts w:ascii="Arial" w:eastAsiaTheme="minorHAnsi" w:hAnsi="Arial" w:cs="Arial"/>
      </w:rPr>
    </w:lvl>
    <w:lvl w:ilvl="2" w:tplc="40B85C3E" w:tentative="1">
      <w:start w:val="1"/>
      <w:numFmt w:val="bullet"/>
      <w:lvlText w:val="•"/>
      <w:lvlJc w:val="left"/>
      <w:pPr>
        <w:tabs>
          <w:tab w:val="num" w:pos="2520"/>
        </w:tabs>
        <w:ind w:left="2520" w:hanging="360"/>
      </w:pPr>
      <w:rPr>
        <w:rFonts w:ascii="Arial" w:hAnsi="Arial" w:hint="default"/>
      </w:rPr>
    </w:lvl>
    <w:lvl w:ilvl="3" w:tplc="33D87786" w:tentative="1">
      <w:start w:val="1"/>
      <w:numFmt w:val="bullet"/>
      <w:lvlText w:val="•"/>
      <w:lvlJc w:val="left"/>
      <w:pPr>
        <w:tabs>
          <w:tab w:val="num" w:pos="3240"/>
        </w:tabs>
        <w:ind w:left="3240" w:hanging="360"/>
      </w:pPr>
      <w:rPr>
        <w:rFonts w:ascii="Arial" w:hAnsi="Arial" w:hint="default"/>
      </w:rPr>
    </w:lvl>
    <w:lvl w:ilvl="4" w:tplc="BF0227DA" w:tentative="1">
      <w:start w:val="1"/>
      <w:numFmt w:val="bullet"/>
      <w:lvlText w:val="•"/>
      <w:lvlJc w:val="left"/>
      <w:pPr>
        <w:tabs>
          <w:tab w:val="num" w:pos="3960"/>
        </w:tabs>
        <w:ind w:left="3960" w:hanging="360"/>
      </w:pPr>
      <w:rPr>
        <w:rFonts w:ascii="Arial" w:hAnsi="Arial" w:hint="default"/>
      </w:rPr>
    </w:lvl>
    <w:lvl w:ilvl="5" w:tplc="2624ADD6" w:tentative="1">
      <w:start w:val="1"/>
      <w:numFmt w:val="bullet"/>
      <w:lvlText w:val="•"/>
      <w:lvlJc w:val="left"/>
      <w:pPr>
        <w:tabs>
          <w:tab w:val="num" w:pos="4680"/>
        </w:tabs>
        <w:ind w:left="4680" w:hanging="360"/>
      </w:pPr>
      <w:rPr>
        <w:rFonts w:ascii="Arial" w:hAnsi="Arial" w:hint="default"/>
      </w:rPr>
    </w:lvl>
    <w:lvl w:ilvl="6" w:tplc="8878F86C" w:tentative="1">
      <w:start w:val="1"/>
      <w:numFmt w:val="bullet"/>
      <w:lvlText w:val="•"/>
      <w:lvlJc w:val="left"/>
      <w:pPr>
        <w:tabs>
          <w:tab w:val="num" w:pos="5400"/>
        </w:tabs>
        <w:ind w:left="5400" w:hanging="360"/>
      </w:pPr>
      <w:rPr>
        <w:rFonts w:ascii="Arial" w:hAnsi="Arial" w:hint="default"/>
      </w:rPr>
    </w:lvl>
    <w:lvl w:ilvl="7" w:tplc="F0CAFDC0" w:tentative="1">
      <w:start w:val="1"/>
      <w:numFmt w:val="bullet"/>
      <w:lvlText w:val="•"/>
      <w:lvlJc w:val="left"/>
      <w:pPr>
        <w:tabs>
          <w:tab w:val="num" w:pos="6120"/>
        </w:tabs>
        <w:ind w:left="6120" w:hanging="360"/>
      </w:pPr>
      <w:rPr>
        <w:rFonts w:ascii="Arial" w:hAnsi="Arial" w:hint="default"/>
      </w:rPr>
    </w:lvl>
    <w:lvl w:ilvl="8" w:tplc="4E98A050" w:tentative="1">
      <w:start w:val="1"/>
      <w:numFmt w:val="bullet"/>
      <w:lvlText w:val="•"/>
      <w:lvlJc w:val="left"/>
      <w:pPr>
        <w:tabs>
          <w:tab w:val="num" w:pos="6840"/>
        </w:tabs>
        <w:ind w:left="6840" w:hanging="360"/>
      </w:pPr>
      <w:rPr>
        <w:rFonts w:ascii="Arial" w:hAnsi="Arial" w:hint="default"/>
      </w:rPr>
    </w:lvl>
  </w:abstractNum>
  <w:abstractNum w:abstractNumId="6">
    <w:nsid w:val="6C705370"/>
    <w:multiLevelType w:val="hybridMultilevel"/>
    <w:tmpl w:val="3D08DEB6"/>
    <w:lvl w:ilvl="0" w:tplc="BC26B1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876481B2">
      <w:start w:val="1"/>
      <w:numFmt w:val="lowerLetter"/>
      <w:lvlText w:val="%3."/>
      <w:lvlJc w:val="right"/>
      <w:pPr>
        <w:ind w:left="2520" w:hanging="180"/>
      </w:pPr>
      <w:rPr>
        <w:rFonts w:ascii="Arial" w:eastAsiaTheme="minorHAns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1934B2"/>
    <w:rsid w:val="001934B2"/>
    <w:rsid w:val="004D6BF3"/>
    <w:rsid w:val="00772D67"/>
    <w:rsid w:val="008B33A0"/>
    <w:rsid w:val="00DC491C"/>
    <w:rsid w:val="00F67BB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B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B2"/>
    <w:pPr>
      <w:ind w:left="720"/>
      <w:contextualSpacing/>
    </w:pPr>
  </w:style>
  <w:style w:type="paragraph" w:styleId="BalloonText">
    <w:name w:val="Balloon Text"/>
    <w:basedOn w:val="Normal"/>
    <w:link w:val="BalloonTextChar"/>
    <w:uiPriority w:val="99"/>
    <w:semiHidden/>
    <w:unhideWhenUsed/>
    <w:rsid w:val="008B3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A0"/>
    <w:rPr>
      <w:rFonts w:ascii="Tahoma" w:eastAsiaTheme="minorHAns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B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1877</Words>
  <Characters>10699</Characters>
  <Application>Microsoft Office Word</Application>
  <DocSecurity>0</DocSecurity>
  <Lines>89</Lines>
  <Paragraphs>25</Paragraphs>
  <ScaleCrop>false</ScaleCrop>
  <Company>NCAR</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Moore</dc:creator>
  <cp:lastModifiedBy>charnick</cp:lastModifiedBy>
  <cp:revision>2</cp:revision>
  <dcterms:created xsi:type="dcterms:W3CDTF">2014-05-23T21:36:00Z</dcterms:created>
  <dcterms:modified xsi:type="dcterms:W3CDTF">2014-05-23T21:36:00Z</dcterms:modified>
</cp:coreProperties>
</file>