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5C" w:rsidRPr="00A944D4" w:rsidRDefault="00A944D4" w:rsidP="002B3F22">
      <w:pPr>
        <w:jc w:val="center"/>
        <w:rPr>
          <w:rFonts w:cstheme="minorHAnsi"/>
          <w:b/>
          <w:sz w:val="32"/>
          <w:szCs w:val="32"/>
          <w:u w:val="single"/>
        </w:rPr>
      </w:pPr>
      <w:r w:rsidRPr="00A944D4">
        <w:rPr>
          <w:rFonts w:cstheme="minorHAnsi"/>
          <w:b/>
          <w:sz w:val="32"/>
          <w:szCs w:val="32"/>
          <w:u w:val="single"/>
        </w:rPr>
        <w:t>Chapter 1</w:t>
      </w:r>
      <w:r w:rsidR="00CB026F">
        <w:rPr>
          <w:rFonts w:cstheme="minorHAnsi"/>
          <w:b/>
          <w:sz w:val="32"/>
          <w:szCs w:val="32"/>
          <w:u w:val="single"/>
        </w:rPr>
        <w:t>: TCI</w:t>
      </w:r>
      <w:r w:rsidRPr="00A944D4">
        <w:rPr>
          <w:rFonts w:cstheme="minorHAnsi"/>
          <w:b/>
          <w:sz w:val="32"/>
          <w:szCs w:val="32"/>
          <w:u w:val="single"/>
        </w:rPr>
        <w:t xml:space="preserve"> </w:t>
      </w:r>
      <w:r w:rsidR="00510888" w:rsidRPr="00A944D4">
        <w:rPr>
          <w:rFonts w:cstheme="minorHAnsi"/>
          <w:b/>
          <w:sz w:val="32"/>
          <w:szCs w:val="32"/>
          <w:u w:val="single"/>
        </w:rPr>
        <w:t>Project Overview</w:t>
      </w:r>
    </w:p>
    <w:p w:rsidR="00E53B21" w:rsidRPr="00031B6C" w:rsidRDefault="00E53B21" w:rsidP="00510888">
      <w:pPr>
        <w:pStyle w:val="Default"/>
        <w:jc w:val="both"/>
        <w:rPr>
          <w:rFonts w:asciiTheme="minorHAnsi" w:hAnsiTheme="minorHAnsi" w:cstheme="minorHAnsi"/>
          <w:b/>
          <w:color w:val="auto"/>
        </w:rPr>
      </w:pPr>
      <w:r w:rsidRPr="00031B6C">
        <w:rPr>
          <w:rFonts w:asciiTheme="minorHAnsi" w:hAnsiTheme="minorHAnsi" w:cstheme="minorHAnsi"/>
          <w:b/>
          <w:color w:val="auto"/>
        </w:rPr>
        <w:t>Project Goals and Purpose</w:t>
      </w:r>
    </w:p>
    <w:p w:rsidR="00E53B21" w:rsidRPr="00031B6C" w:rsidRDefault="00E53B21" w:rsidP="00510888">
      <w:pPr>
        <w:pStyle w:val="Default"/>
        <w:jc w:val="both"/>
        <w:rPr>
          <w:rFonts w:asciiTheme="minorHAnsi" w:hAnsiTheme="minorHAnsi" w:cstheme="minorHAnsi"/>
          <w:color w:val="auto"/>
        </w:rPr>
      </w:pPr>
    </w:p>
    <w:p w:rsidR="00510888" w:rsidRPr="00031B6C" w:rsidRDefault="00510888" w:rsidP="00510888">
      <w:pPr>
        <w:pStyle w:val="Default"/>
        <w:jc w:val="both"/>
        <w:rPr>
          <w:rFonts w:asciiTheme="minorHAnsi" w:hAnsiTheme="minorHAnsi" w:cstheme="minorHAnsi"/>
          <w:color w:val="auto"/>
        </w:rPr>
      </w:pPr>
      <w:r w:rsidRPr="00031B6C">
        <w:rPr>
          <w:rFonts w:asciiTheme="minorHAnsi" w:hAnsiTheme="minorHAnsi" w:cstheme="minorHAnsi"/>
          <w:color w:val="auto"/>
        </w:rPr>
        <w:t>The goal of the Tropical Cyclone Intensity (TCI) initiative is to improve the prediction of tropical cyclone (TC) intensity and structure change</w:t>
      </w:r>
      <w:r w:rsidR="00AF1517" w:rsidRPr="00031B6C">
        <w:rPr>
          <w:rFonts w:asciiTheme="minorHAnsi" w:hAnsiTheme="minorHAnsi" w:cstheme="minorHAnsi"/>
          <w:color w:val="auto"/>
        </w:rPr>
        <w:t>.</w:t>
      </w:r>
      <w:r w:rsidRPr="00031B6C">
        <w:rPr>
          <w:rFonts w:asciiTheme="minorHAnsi" w:hAnsiTheme="minorHAnsi" w:cstheme="minorHAnsi"/>
          <w:color w:val="auto"/>
        </w:rPr>
        <w:t xml:space="preserve"> </w:t>
      </w:r>
      <w:r w:rsidR="00AF1517" w:rsidRPr="00031B6C">
        <w:rPr>
          <w:rFonts w:asciiTheme="minorHAnsi" w:hAnsiTheme="minorHAnsi" w:cstheme="minorHAnsi"/>
          <w:color w:val="auto"/>
        </w:rPr>
        <w:t>The specific focus is</w:t>
      </w:r>
      <w:r w:rsidRPr="00031B6C">
        <w:rPr>
          <w:rFonts w:asciiTheme="minorHAnsi" w:hAnsiTheme="minorHAnsi" w:cstheme="minorHAnsi"/>
          <w:color w:val="auto"/>
        </w:rPr>
        <w:t xml:space="preserve"> an improv</w:t>
      </w:r>
      <w:r w:rsidR="00AF1517" w:rsidRPr="00031B6C">
        <w:rPr>
          <w:rFonts w:asciiTheme="minorHAnsi" w:hAnsiTheme="minorHAnsi" w:cstheme="minorHAnsi"/>
          <w:color w:val="auto"/>
        </w:rPr>
        <w:t xml:space="preserve">ed understanding </w:t>
      </w:r>
      <w:r w:rsidRPr="00031B6C">
        <w:rPr>
          <w:rFonts w:asciiTheme="minorHAnsi" w:hAnsiTheme="minorHAnsi" w:cstheme="minorHAnsi"/>
          <w:color w:val="auto"/>
        </w:rPr>
        <w:t xml:space="preserve">of TC </w:t>
      </w:r>
      <w:r w:rsidR="00AF1517" w:rsidRPr="00031B6C">
        <w:rPr>
          <w:rFonts w:asciiTheme="minorHAnsi" w:hAnsiTheme="minorHAnsi" w:cstheme="minorHAnsi"/>
          <w:color w:val="auto"/>
        </w:rPr>
        <w:t xml:space="preserve">upper-level outflow layer </w:t>
      </w:r>
      <w:r w:rsidRPr="00031B6C">
        <w:rPr>
          <w:rFonts w:asciiTheme="minorHAnsi" w:hAnsiTheme="minorHAnsi" w:cstheme="minorHAnsi"/>
          <w:color w:val="auto"/>
        </w:rPr>
        <w:t>processes and dynamics</w:t>
      </w:r>
      <w:r w:rsidR="00AF1517" w:rsidRPr="00031B6C">
        <w:rPr>
          <w:rFonts w:asciiTheme="minorHAnsi" w:hAnsiTheme="minorHAnsi" w:cstheme="minorHAnsi"/>
          <w:color w:val="auto"/>
        </w:rPr>
        <w:t>. This</w:t>
      </w:r>
      <w:r w:rsidRPr="00031B6C">
        <w:rPr>
          <w:rFonts w:asciiTheme="minorHAnsi" w:hAnsiTheme="minorHAnsi" w:cstheme="minorHAnsi"/>
          <w:color w:val="auto"/>
        </w:rPr>
        <w:t xml:space="preserve"> will be investigated in a comprehensi</w:t>
      </w:r>
      <w:r w:rsidR="00F97F0E" w:rsidRPr="00031B6C">
        <w:rPr>
          <w:rFonts w:asciiTheme="minorHAnsi" w:hAnsiTheme="minorHAnsi" w:cstheme="minorHAnsi"/>
          <w:color w:val="auto"/>
        </w:rPr>
        <w:t xml:space="preserve">ve manner using the observations obtained during the TCI </w:t>
      </w:r>
      <w:r w:rsidRPr="00031B6C">
        <w:rPr>
          <w:rFonts w:asciiTheme="minorHAnsi" w:hAnsiTheme="minorHAnsi" w:cstheme="minorHAnsi"/>
          <w:color w:val="auto"/>
        </w:rPr>
        <w:t xml:space="preserve">field </w:t>
      </w:r>
      <w:r w:rsidR="00F97F0E" w:rsidRPr="00031B6C">
        <w:rPr>
          <w:rFonts w:asciiTheme="minorHAnsi" w:hAnsiTheme="minorHAnsi" w:cstheme="minorHAnsi"/>
          <w:color w:val="auto"/>
        </w:rPr>
        <w:t>phase</w:t>
      </w:r>
      <w:r w:rsidRPr="00031B6C">
        <w:rPr>
          <w:rFonts w:asciiTheme="minorHAnsi" w:hAnsiTheme="minorHAnsi" w:cstheme="minorHAnsi"/>
          <w:color w:val="auto"/>
        </w:rPr>
        <w:t xml:space="preserve"> in </w:t>
      </w:r>
      <w:r w:rsidR="00F97F0E" w:rsidRPr="00031B6C">
        <w:rPr>
          <w:rFonts w:asciiTheme="minorHAnsi" w:hAnsiTheme="minorHAnsi" w:cstheme="minorHAnsi"/>
          <w:color w:val="auto"/>
        </w:rPr>
        <w:t>2015</w:t>
      </w:r>
      <w:r w:rsidRPr="00031B6C">
        <w:rPr>
          <w:rFonts w:asciiTheme="minorHAnsi" w:hAnsiTheme="minorHAnsi" w:cstheme="minorHAnsi"/>
          <w:color w:val="auto"/>
        </w:rPr>
        <w:t xml:space="preserve"> and </w:t>
      </w:r>
      <w:r w:rsidR="00F97F0E" w:rsidRPr="00031B6C">
        <w:rPr>
          <w:rFonts w:asciiTheme="minorHAnsi" w:hAnsiTheme="minorHAnsi" w:cstheme="minorHAnsi"/>
          <w:color w:val="auto"/>
        </w:rPr>
        <w:t>high-resolution</w:t>
      </w:r>
      <w:r w:rsidRPr="00031B6C">
        <w:rPr>
          <w:rFonts w:asciiTheme="minorHAnsi" w:hAnsiTheme="minorHAnsi" w:cstheme="minorHAnsi"/>
          <w:color w:val="auto"/>
        </w:rPr>
        <w:t xml:space="preserve"> tropical cyclone models.  Our ultimate goal is to improve the prediction of tropical cyclone intensity change, especially rapid intensification (RI) and rapid decay (RD) as well as TC structural changes that </w:t>
      </w:r>
      <w:r w:rsidR="00AF1517" w:rsidRPr="00031B6C">
        <w:rPr>
          <w:rFonts w:asciiTheme="minorHAnsi" w:hAnsiTheme="minorHAnsi" w:cstheme="minorHAnsi"/>
          <w:color w:val="auto"/>
        </w:rPr>
        <w:t xml:space="preserve">are hypothesized to </w:t>
      </w:r>
      <w:r w:rsidRPr="00031B6C">
        <w:rPr>
          <w:rFonts w:asciiTheme="minorHAnsi" w:hAnsiTheme="minorHAnsi" w:cstheme="minorHAnsi"/>
          <w:color w:val="auto"/>
        </w:rPr>
        <w:t>occur through synergistic interactions with outflow.</w:t>
      </w:r>
    </w:p>
    <w:p w:rsidR="00510888" w:rsidRPr="00031B6C" w:rsidRDefault="00510888" w:rsidP="00510888">
      <w:pPr>
        <w:pStyle w:val="Default"/>
        <w:jc w:val="both"/>
        <w:rPr>
          <w:rFonts w:asciiTheme="minorHAnsi" w:hAnsiTheme="minorHAnsi" w:cstheme="minorHAnsi"/>
          <w:color w:val="auto"/>
        </w:rPr>
      </w:pPr>
    </w:p>
    <w:p w:rsidR="00510888" w:rsidRPr="00031B6C" w:rsidRDefault="00510888" w:rsidP="00510888">
      <w:pPr>
        <w:pStyle w:val="Default"/>
        <w:jc w:val="both"/>
        <w:rPr>
          <w:rFonts w:asciiTheme="minorHAnsi" w:hAnsiTheme="minorHAnsi" w:cstheme="minorHAnsi"/>
          <w:color w:val="auto"/>
        </w:rPr>
      </w:pPr>
      <w:r w:rsidRPr="00031B6C">
        <w:rPr>
          <w:rFonts w:asciiTheme="minorHAnsi" w:hAnsiTheme="minorHAnsi" w:cstheme="minorHAnsi"/>
          <w:noProof/>
          <w:color w:val="auto"/>
          <w:lang w:eastAsia="en-US"/>
        </w:rPr>
        <mc:AlternateContent>
          <mc:Choice Requires="wps">
            <w:drawing>
              <wp:anchor distT="0" distB="0" distL="114300" distR="114300" simplePos="0" relativeHeight="251660288" behindDoc="1" locked="0" layoutInCell="1" allowOverlap="1" wp14:anchorId="2D3EDA88" wp14:editId="5F526753">
                <wp:simplePos x="0" y="0"/>
                <wp:positionH relativeFrom="column">
                  <wp:posOffset>3498850</wp:posOffset>
                </wp:positionH>
                <wp:positionV relativeFrom="paragraph">
                  <wp:posOffset>2776220</wp:posOffset>
                </wp:positionV>
                <wp:extent cx="2522855" cy="919480"/>
                <wp:effectExtent l="0" t="0" r="0" b="0"/>
                <wp:wrapTight wrapText="bothSides">
                  <wp:wrapPolygon edited="0">
                    <wp:start x="0" y="0"/>
                    <wp:lineTo x="0" y="21033"/>
                    <wp:lineTo x="21366" y="21033"/>
                    <wp:lineTo x="2136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888" w:rsidRPr="00510888" w:rsidRDefault="00510888" w:rsidP="00510888">
                            <w:pPr>
                              <w:jc w:val="both"/>
                              <w:rPr>
                                <w:rFonts w:ascii="Times New Roman" w:hAnsi="Times New Roman" w:cs="Times New Roman"/>
                                <w:i/>
                                <w:sz w:val="20"/>
                                <w:szCs w:val="20"/>
                              </w:rPr>
                            </w:pPr>
                            <w:r w:rsidRPr="00510888">
                              <w:rPr>
                                <w:rFonts w:ascii="Times New Roman" w:hAnsi="Times New Roman" w:cs="Times New Roman"/>
                                <w:i/>
                                <w:sz w:val="20"/>
                                <w:szCs w:val="20"/>
                              </w:rPr>
                              <w:t>Figure 1: Tropical cyclone schematic depicting the 3-D flow (including primary and secondary circulations), as well as the focal region (yellow box) for re</w:t>
                            </w:r>
                            <w:r w:rsidR="005E5F1C">
                              <w:rPr>
                                <w:rFonts w:ascii="Times New Roman" w:hAnsi="Times New Roman" w:cs="Times New Roman"/>
                                <w:i/>
                                <w:sz w:val="20"/>
                                <w:szCs w:val="20"/>
                              </w:rPr>
                              <w:t xml:space="preserve">cent field campaigns. (From </w:t>
                            </w:r>
                            <w:r w:rsidRPr="00510888">
                              <w:rPr>
                                <w:rFonts w:ascii="Times New Roman" w:hAnsi="Times New Roman" w:cs="Times New Roman"/>
                                <w:i/>
                                <w:sz w:val="20"/>
                                <w:szCs w:val="20"/>
                              </w:rPr>
                              <w:t>NASA)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5pt;margin-top:218.6pt;width:198.65pt;height:7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Xigw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7RaajOYFwNTvcG3PwI28ByzNSZO02/OKT0TUfUml9Zq4eOEwbRZeFkcnR0wnEB&#10;ZDW81wyuIRuvI9DY2j6UDoqBAB1YejwwE0KhsJmXeT4vS4wo2KqsKuaRuoTU+9PGOv+W6x6FSYMt&#10;MB/RyfbO+RANqfcu4TKnpWBLIWVc2PXqRlq0JaCSZfxiAi/cpArOSodjE+K0A0HCHcEWwo2sP1VZ&#10;XqTXeTVbns3PZ8WyKGfVeTqfpVl1XZ2lRVXcLr+HALOi7gRjXN0JxfcKzIq/Y3jXC5N2ogbRAPUp&#10;83Ki6I9JpvH7XZK98NCQUvQNnh+cSB2IfaMYpE1qT4Sc5snP4ccqQw32/1iVKIPA/KQBP65GQAna&#10;WGn2CIKwGvgC1uEVgUmn7TeMBujIBruvG2I5RvKdAlFVWVGEFo6LojzPYWGPLatjC1EUoBrsMZqm&#10;N35q+42xYt3BTZOMlb4CIbYiauQ5qp18oetiMrsXIrT18Tp6Pb9jix8AAAD//wMAUEsDBBQABgAI&#10;AAAAIQDL1YbL4AAAAAsBAAAPAAAAZHJzL2Rvd25yZXYueG1sTI/BboMwEETvlfoP1kbqpWpMCARC&#10;MVFbqVWvSfMBBjaAgtcIO4H8fben5jia0cybfDebXlxxdJ0lBatlAAKpsnVHjYLjz+dLCsJ5TbXu&#10;LaGCGzrYFY8Puc5qO9EerwffCC4hl2kFrfdDJqWrWjTaLe2AxN7JjkZ7lmMj61FPXG56GQbBRhrd&#10;ES+0esCPFqvz4WIUnL6n53g7lV/+mOyjzbvuktLelHpazG+vIDzO/j8Mf/iMDgUzlfZCtRO9gjhe&#10;8RevIFonIQhObKN0DaJkKw0DkEUu7z8UvwAAAP//AwBQSwECLQAUAAYACAAAACEAtoM4kv4AAADh&#10;AQAAEwAAAAAAAAAAAAAAAAAAAAAAW0NvbnRlbnRfVHlwZXNdLnhtbFBLAQItABQABgAIAAAAIQA4&#10;/SH/1gAAAJQBAAALAAAAAAAAAAAAAAAAAC8BAABfcmVscy8ucmVsc1BLAQItABQABgAIAAAAIQAs&#10;2XXigwIAAA8FAAAOAAAAAAAAAAAAAAAAAC4CAABkcnMvZTJvRG9jLnhtbFBLAQItABQABgAIAAAA&#10;IQDL1YbL4AAAAAsBAAAPAAAAAAAAAAAAAAAAAN0EAABkcnMvZG93bnJldi54bWxQSwUGAAAAAAQA&#10;BADzAAAA6gUAAAAA&#10;" stroked="f">
                <v:textbox>
                  <w:txbxContent>
                    <w:p w:rsidR="00510888" w:rsidRPr="00510888" w:rsidRDefault="00510888" w:rsidP="00510888">
                      <w:pPr>
                        <w:jc w:val="both"/>
                        <w:rPr>
                          <w:rFonts w:ascii="Times New Roman" w:hAnsi="Times New Roman" w:cs="Times New Roman"/>
                          <w:i/>
                          <w:sz w:val="20"/>
                          <w:szCs w:val="20"/>
                        </w:rPr>
                      </w:pPr>
                      <w:r w:rsidRPr="00510888">
                        <w:rPr>
                          <w:rFonts w:ascii="Times New Roman" w:hAnsi="Times New Roman" w:cs="Times New Roman"/>
                          <w:i/>
                          <w:sz w:val="20"/>
                          <w:szCs w:val="20"/>
                        </w:rPr>
                        <w:t>Figure 1: Tropical cyclone schematic depicting the 3-D flow (including primary and secondary circulations), as well as the focal region (yellow box) for re</w:t>
                      </w:r>
                      <w:r w:rsidR="005E5F1C">
                        <w:rPr>
                          <w:rFonts w:ascii="Times New Roman" w:hAnsi="Times New Roman" w:cs="Times New Roman"/>
                          <w:i/>
                          <w:sz w:val="20"/>
                          <w:szCs w:val="20"/>
                        </w:rPr>
                        <w:t xml:space="preserve">cent field campaigns. (From </w:t>
                      </w:r>
                      <w:r w:rsidRPr="00510888">
                        <w:rPr>
                          <w:rFonts w:ascii="Times New Roman" w:hAnsi="Times New Roman" w:cs="Times New Roman"/>
                          <w:i/>
                          <w:sz w:val="20"/>
                          <w:szCs w:val="20"/>
                        </w:rPr>
                        <w:t>NASA)</w:t>
                      </w:r>
                    </w:p>
                  </w:txbxContent>
                </v:textbox>
                <w10:wrap type="tight"/>
              </v:shape>
            </w:pict>
          </mc:Fallback>
        </mc:AlternateContent>
      </w:r>
      <w:r w:rsidRPr="00031B6C">
        <w:rPr>
          <w:rFonts w:asciiTheme="minorHAnsi" w:hAnsiTheme="minorHAnsi" w:cstheme="minorHAnsi"/>
          <w:noProof/>
          <w:color w:val="auto"/>
          <w:lang w:eastAsia="en-US"/>
        </w:rPr>
        <w:drawing>
          <wp:anchor distT="0" distB="0" distL="114300" distR="114300" simplePos="0" relativeHeight="251659264" behindDoc="1" locked="0" layoutInCell="1" allowOverlap="1" wp14:anchorId="7752C5C6" wp14:editId="3D7A28FA">
            <wp:simplePos x="0" y="0"/>
            <wp:positionH relativeFrom="column">
              <wp:posOffset>3478530</wp:posOffset>
            </wp:positionH>
            <wp:positionV relativeFrom="paragraph">
              <wp:posOffset>1238250</wp:posOffset>
            </wp:positionV>
            <wp:extent cx="2480945" cy="1567180"/>
            <wp:effectExtent l="0" t="0" r="0" b="0"/>
            <wp:wrapTight wrapText="bothSides">
              <wp:wrapPolygon edited="0">
                <wp:start x="0" y="0"/>
                <wp:lineTo x="0" y="21267"/>
                <wp:lineTo x="21395" y="21267"/>
                <wp:lineTo x="21395" y="0"/>
                <wp:lineTo x="0" y="0"/>
              </wp:wrapPolygon>
            </wp:wrapTight>
            <wp:docPr id="4" name="Picture 4" descr="out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flow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94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B6C">
        <w:rPr>
          <w:rFonts w:asciiTheme="minorHAnsi" w:hAnsiTheme="minorHAnsi" w:cstheme="minorHAnsi"/>
          <w:color w:val="auto"/>
        </w:rPr>
        <w:t xml:space="preserve">Accurate prediction of tropical cyclone intensity remains </w:t>
      </w:r>
      <w:r w:rsidR="00F97F0E" w:rsidRPr="00031B6C">
        <w:rPr>
          <w:rFonts w:asciiTheme="minorHAnsi" w:hAnsiTheme="minorHAnsi" w:cstheme="minorHAnsi"/>
          <w:color w:val="auto"/>
        </w:rPr>
        <w:t>one of the</w:t>
      </w:r>
      <w:r w:rsidRPr="00031B6C">
        <w:rPr>
          <w:rFonts w:asciiTheme="minorHAnsi" w:hAnsiTheme="minorHAnsi" w:cstheme="minorHAnsi"/>
          <w:color w:val="auto"/>
        </w:rPr>
        <w:t xml:space="preserve"> greatest challenge</w:t>
      </w:r>
      <w:r w:rsidR="00F97F0E" w:rsidRPr="00031B6C">
        <w:rPr>
          <w:rFonts w:asciiTheme="minorHAnsi" w:hAnsiTheme="minorHAnsi" w:cstheme="minorHAnsi"/>
          <w:color w:val="auto"/>
        </w:rPr>
        <w:t>s</w:t>
      </w:r>
      <w:r w:rsidRPr="00031B6C">
        <w:rPr>
          <w:rFonts w:asciiTheme="minorHAnsi" w:hAnsiTheme="minorHAnsi" w:cstheme="minorHAnsi"/>
          <w:color w:val="auto"/>
        </w:rPr>
        <w:t xml:space="preserve"> in </w:t>
      </w:r>
      <w:r w:rsidR="00F97F0E" w:rsidRPr="00031B6C">
        <w:rPr>
          <w:rFonts w:asciiTheme="minorHAnsi" w:hAnsiTheme="minorHAnsi" w:cstheme="minorHAnsi"/>
          <w:color w:val="auto"/>
        </w:rPr>
        <w:t>meteorology</w:t>
      </w:r>
      <w:r w:rsidRPr="00031B6C">
        <w:rPr>
          <w:rFonts w:asciiTheme="minorHAnsi" w:hAnsiTheme="minorHAnsi" w:cstheme="minorHAnsi"/>
          <w:color w:val="auto"/>
        </w:rPr>
        <w:t xml:space="preserve"> today. Previous research programs and f</w:t>
      </w:r>
      <w:r w:rsidR="00F97F0E" w:rsidRPr="00031B6C">
        <w:rPr>
          <w:rFonts w:asciiTheme="minorHAnsi" w:hAnsiTheme="minorHAnsi" w:cstheme="minorHAnsi"/>
          <w:color w:val="auto"/>
        </w:rPr>
        <w:t>ield campaigns</w:t>
      </w:r>
      <w:r w:rsidR="005E5F1C" w:rsidRPr="00031B6C">
        <w:rPr>
          <w:rFonts w:asciiTheme="minorHAnsi" w:hAnsiTheme="minorHAnsi" w:cstheme="minorHAnsi"/>
          <w:color w:val="auto"/>
        </w:rPr>
        <w:t xml:space="preserve"> (e.g., CBLAST, 2002-2004; TCSP, 2005; NAMMA, 2006; TPARC/TCS08, 2008; ITOP/TCS10, 2010, GRIP, 2010, HS3, 2012-2014)</w:t>
      </w:r>
      <w:r w:rsidR="00F97F0E" w:rsidRPr="00031B6C">
        <w:rPr>
          <w:rFonts w:asciiTheme="minorHAnsi" w:hAnsiTheme="minorHAnsi" w:cstheme="minorHAnsi"/>
          <w:color w:val="auto"/>
        </w:rPr>
        <w:t xml:space="preserve"> have focused on </w:t>
      </w:r>
      <w:r w:rsidRPr="00031B6C">
        <w:rPr>
          <w:rFonts w:asciiTheme="minorHAnsi" w:hAnsiTheme="minorHAnsi" w:cstheme="minorHAnsi"/>
          <w:color w:val="auto"/>
        </w:rPr>
        <w:t>mechanisms in the boundary layer, mid-troposphere and convection, large-scale environment, and ocean mixed layer, all of which impact TC development and intensification to varying degree</w:t>
      </w:r>
      <w:r w:rsidR="005E5F1C" w:rsidRPr="00031B6C">
        <w:rPr>
          <w:rFonts w:asciiTheme="minorHAnsi" w:hAnsiTheme="minorHAnsi" w:cstheme="minorHAnsi"/>
          <w:color w:val="auto"/>
        </w:rPr>
        <w:t>s. H</w:t>
      </w:r>
      <w:r w:rsidRPr="00031B6C">
        <w:rPr>
          <w:rFonts w:asciiTheme="minorHAnsi" w:hAnsiTheme="minorHAnsi" w:cstheme="minorHAnsi"/>
          <w:color w:val="auto"/>
        </w:rPr>
        <w:t xml:space="preserve">owever, the upper-level TC outflow region (Fig. 1) </w:t>
      </w:r>
      <w:r w:rsidR="00F97F0E" w:rsidRPr="00031B6C">
        <w:rPr>
          <w:rFonts w:asciiTheme="minorHAnsi" w:hAnsiTheme="minorHAnsi" w:cstheme="minorHAnsi"/>
          <w:color w:val="auto"/>
        </w:rPr>
        <w:t>remain</w:t>
      </w:r>
      <w:r w:rsidR="00AF1517" w:rsidRPr="00031B6C">
        <w:rPr>
          <w:rFonts w:asciiTheme="minorHAnsi" w:hAnsiTheme="minorHAnsi" w:cstheme="minorHAnsi"/>
          <w:color w:val="auto"/>
        </w:rPr>
        <w:t>s</w:t>
      </w:r>
      <w:r w:rsidRPr="00031B6C">
        <w:rPr>
          <w:rFonts w:asciiTheme="minorHAnsi" w:hAnsiTheme="minorHAnsi" w:cstheme="minorHAnsi"/>
          <w:color w:val="auto"/>
        </w:rPr>
        <w:t xml:space="preserve"> </w:t>
      </w:r>
      <w:r w:rsidR="00F97F0E" w:rsidRPr="00031B6C">
        <w:rPr>
          <w:rFonts w:asciiTheme="minorHAnsi" w:hAnsiTheme="minorHAnsi" w:cstheme="minorHAnsi"/>
          <w:color w:val="auto"/>
        </w:rPr>
        <w:t>relatively</w:t>
      </w:r>
      <w:r w:rsidRPr="00031B6C">
        <w:rPr>
          <w:rFonts w:asciiTheme="minorHAnsi" w:hAnsiTheme="minorHAnsi" w:cstheme="minorHAnsi"/>
          <w:color w:val="auto"/>
        </w:rPr>
        <w:t xml:space="preserve"> unexplored.  This </w:t>
      </w:r>
      <w:r w:rsidR="005E5F1C" w:rsidRPr="00031B6C">
        <w:rPr>
          <w:rFonts w:asciiTheme="minorHAnsi" w:hAnsiTheme="minorHAnsi" w:cstheme="minorHAnsi"/>
          <w:color w:val="auto"/>
        </w:rPr>
        <w:t xml:space="preserve">is thought to be a critical </w:t>
      </w:r>
      <w:r w:rsidRPr="00031B6C">
        <w:rPr>
          <w:rFonts w:asciiTheme="minorHAnsi" w:hAnsiTheme="minorHAnsi" w:cstheme="minorHAnsi"/>
          <w:color w:val="auto"/>
        </w:rPr>
        <w:t>region as changes in the TC outflow can directly cause changes in the TC secondary (in-up-out) circulation. TCs intensify through enhanced radial inflow, which subsequently allows for more heat, moisture and high angular momentum air to be transported into the inner-core, which in turn allows for more vigorous deep convection there.  Balance must be maintained between the inflow, upward, and outflow branches of the secondary circulation, and therefore changes in one branch will directly impact the</w:t>
      </w:r>
      <w:r w:rsidR="005E5F1C" w:rsidRPr="00031B6C">
        <w:rPr>
          <w:rFonts w:asciiTheme="minorHAnsi" w:hAnsiTheme="minorHAnsi" w:cstheme="minorHAnsi"/>
          <w:color w:val="auto"/>
        </w:rPr>
        <w:t xml:space="preserve"> other branches.  R</w:t>
      </w:r>
      <w:r w:rsidRPr="00031B6C">
        <w:rPr>
          <w:rFonts w:asciiTheme="minorHAnsi" w:hAnsiTheme="minorHAnsi" w:cstheme="minorHAnsi"/>
          <w:color w:val="auto"/>
        </w:rPr>
        <w:t xml:space="preserve">emote sensing and in-situ dropsonde </w:t>
      </w:r>
      <w:r w:rsidR="005E5F1C" w:rsidRPr="00031B6C">
        <w:rPr>
          <w:rFonts w:asciiTheme="minorHAnsi" w:hAnsiTheme="minorHAnsi" w:cstheme="minorHAnsi"/>
          <w:color w:val="auto"/>
        </w:rPr>
        <w:t xml:space="preserve">(providing relatively rare direct wind, temperature and humidity) measurements of the outflow layer taken during TCI </w:t>
      </w:r>
      <w:r w:rsidR="00F97F0E" w:rsidRPr="00031B6C">
        <w:rPr>
          <w:rFonts w:asciiTheme="minorHAnsi" w:hAnsiTheme="minorHAnsi" w:cstheme="minorHAnsi"/>
          <w:color w:val="auto"/>
        </w:rPr>
        <w:t xml:space="preserve">will provide a great </w:t>
      </w:r>
      <w:r w:rsidRPr="00031B6C">
        <w:rPr>
          <w:rFonts w:asciiTheme="minorHAnsi" w:hAnsiTheme="minorHAnsi" w:cstheme="minorHAnsi"/>
          <w:color w:val="auto"/>
        </w:rPr>
        <w:t>opportunity to understand the role of this largely unexplored</w:t>
      </w:r>
      <w:r w:rsidR="005E5F1C" w:rsidRPr="00031B6C">
        <w:rPr>
          <w:rFonts w:asciiTheme="minorHAnsi" w:hAnsiTheme="minorHAnsi" w:cstheme="minorHAnsi"/>
          <w:color w:val="auto"/>
        </w:rPr>
        <w:t xml:space="preserve"> portion of a TC. </w:t>
      </w:r>
    </w:p>
    <w:p w:rsidR="00F77B0A" w:rsidRPr="00031B6C" w:rsidRDefault="00F77B0A" w:rsidP="00510888">
      <w:pPr>
        <w:pStyle w:val="Default"/>
        <w:jc w:val="both"/>
        <w:rPr>
          <w:rFonts w:asciiTheme="minorHAnsi" w:hAnsiTheme="minorHAnsi" w:cstheme="minorHAnsi"/>
          <w:color w:val="auto"/>
        </w:rPr>
      </w:pPr>
    </w:p>
    <w:p w:rsidR="00510888" w:rsidRPr="00031B6C" w:rsidRDefault="00F77B0A" w:rsidP="00F77B0A">
      <w:pPr>
        <w:rPr>
          <w:rFonts w:cstheme="minorHAnsi"/>
          <w:b/>
          <w:sz w:val="24"/>
          <w:szCs w:val="24"/>
        </w:rPr>
      </w:pPr>
      <w:r w:rsidRPr="00031B6C">
        <w:rPr>
          <w:rFonts w:cstheme="minorHAnsi"/>
          <w:b/>
          <w:sz w:val="24"/>
          <w:szCs w:val="24"/>
        </w:rPr>
        <w:t xml:space="preserve">Science Objectives </w:t>
      </w:r>
    </w:p>
    <w:p w:rsidR="00510888" w:rsidRPr="00031B6C" w:rsidRDefault="00510888" w:rsidP="00510888">
      <w:pPr>
        <w:pStyle w:val="Default"/>
        <w:jc w:val="both"/>
        <w:rPr>
          <w:rFonts w:asciiTheme="minorHAnsi" w:hAnsiTheme="minorHAnsi" w:cstheme="minorHAnsi"/>
          <w:color w:val="auto"/>
        </w:rPr>
      </w:pPr>
      <w:r w:rsidRPr="00031B6C">
        <w:rPr>
          <w:rFonts w:asciiTheme="minorHAnsi" w:hAnsiTheme="minorHAnsi" w:cstheme="minorHAnsi"/>
          <w:color w:val="auto"/>
        </w:rPr>
        <w:t>The importance of the hurricane outflow layer in affecting both storm motion (Flatau and Stevens 1993) and structure (Holland and Merrill 1984) has been known for some time.  Past observational studies have documented that intensifying TCs have outflows that link to the synoptic-scale upper-level flow, while non-intensifying TCs have no such link (Merrill 1988).  Recent research has further demonstrated that intensification is favored in regions where the upper-level inertial stability is small (</w:t>
      </w:r>
      <w:proofErr w:type="spellStart"/>
      <w:r w:rsidRPr="00031B6C">
        <w:rPr>
          <w:rFonts w:asciiTheme="minorHAnsi" w:hAnsiTheme="minorHAnsi" w:cstheme="minorHAnsi"/>
          <w:color w:val="auto"/>
        </w:rPr>
        <w:t>Rappin</w:t>
      </w:r>
      <w:proofErr w:type="spellEnd"/>
      <w:r w:rsidRPr="00031B6C">
        <w:rPr>
          <w:rFonts w:asciiTheme="minorHAnsi" w:hAnsiTheme="minorHAnsi" w:cstheme="minorHAnsi"/>
          <w:color w:val="auto"/>
        </w:rPr>
        <w:t xml:space="preserve"> et al. 2011). Additionally, eddy flux convergences of </w:t>
      </w:r>
      <w:r w:rsidRPr="00031B6C">
        <w:rPr>
          <w:rFonts w:asciiTheme="minorHAnsi" w:hAnsiTheme="minorHAnsi" w:cstheme="minorHAnsi"/>
          <w:color w:val="auto"/>
        </w:rPr>
        <w:lastRenderedPageBreak/>
        <w:t xml:space="preserve">absolute angular momentum at upper levels from mid-latitude troughs can further affect the outflow layer structure and TC intensity changes in these low inertial stability regions (Merrill 1989; Molinari and </w:t>
      </w:r>
      <w:proofErr w:type="spellStart"/>
      <w:r w:rsidRPr="00031B6C">
        <w:rPr>
          <w:rFonts w:asciiTheme="minorHAnsi" w:hAnsiTheme="minorHAnsi" w:cstheme="minorHAnsi"/>
          <w:color w:val="auto"/>
        </w:rPr>
        <w:t>Vollaro</w:t>
      </w:r>
      <w:proofErr w:type="spellEnd"/>
      <w:r w:rsidRPr="00031B6C">
        <w:rPr>
          <w:rFonts w:asciiTheme="minorHAnsi" w:hAnsiTheme="minorHAnsi" w:cstheme="minorHAnsi"/>
          <w:color w:val="auto"/>
        </w:rPr>
        <w:t xml:space="preserve"> 1989). The induced secondary circulation from the upper-level outflow can be important depending on the outflow layer characteristics.  Of special </w:t>
      </w:r>
      <w:r w:rsidR="00AB6E0A" w:rsidRPr="00031B6C">
        <w:rPr>
          <w:rFonts w:asciiTheme="minorHAnsi" w:hAnsiTheme="minorHAnsi" w:cstheme="minorHAnsi"/>
          <w:color w:val="auto"/>
        </w:rPr>
        <w:t>interest to TC</w:t>
      </w:r>
      <w:r w:rsidR="007719E1" w:rsidRPr="00031B6C">
        <w:rPr>
          <w:rFonts w:asciiTheme="minorHAnsi" w:hAnsiTheme="minorHAnsi" w:cstheme="minorHAnsi"/>
          <w:color w:val="auto"/>
        </w:rPr>
        <w:t>I</w:t>
      </w:r>
      <w:r w:rsidR="00AB6E0A" w:rsidRPr="00031B6C">
        <w:rPr>
          <w:rFonts w:asciiTheme="minorHAnsi" w:hAnsiTheme="minorHAnsi" w:cstheme="minorHAnsi"/>
          <w:color w:val="auto"/>
        </w:rPr>
        <w:t xml:space="preserve"> is the</w:t>
      </w:r>
      <w:r w:rsidRPr="00031B6C">
        <w:rPr>
          <w:rFonts w:asciiTheme="minorHAnsi" w:hAnsiTheme="minorHAnsi" w:cstheme="minorHAnsi"/>
          <w:color w:val="auto"/>
        </w:rPr>
        <w:t xml:space="preserve"> characteristic for the majority of TC outflow to occur in the form of </w:t>
      </w:r>
      <w:r w:rsidR="00AB6E0A" w:rsidRPr="00031B6C">
        <w:rPr>
          <w:rFonts w:asciiTheme="minorHAnsi" w:hAnsiTheme="minorHAnsi" w:cstheme="minorHAnsi"/>
          <w:color w:val="auto"/>
        </w:rPr>
        <w:t>outflow jets</w:t>
      </w:r>
      <w:r w:rsidRPr="00031B6C">
        <w:rPr>
          <w:rFonts w:asciiTheme="minorHAnsi" w:hAnsiTheme="minorHAnsi" w:cstheme="minorHAnsi"/>
          <w:color w:val="auto"/>
        </w:rPr>
        <w:t xml:space="preserve"> directed preferentially in different quadrants of the TC depending on the nature of the environmental interactions. </w:t>
      </w:r>
      <w:r w:rsidR="00AB6E0A" w:rsidRPr="00031B6C">
        <w:rPr>
          <w:rFonts w:asciiTheme="minorHAnsi" w:hAnsiTheme="minorHAnsi" w:cstheme="minorHAnsi"/>
          <w:color w:val="auto"/>
        </w:rPr>
        <w:t xml:space="preserve"> </w:t>
      </w:r>
      <w:r w:rsidR="007719E1" w:rsidRPr="00031B6C">
        <w:rPr>
          <w:rFonts w:asciiTheme="minorHAnsi" w:hAnsiTheme="minorHAnsi" w:cstheme="minorHAnsi"/>
          <w:color w:val="auto"/>
        </w:rPr>
        <w:t>Addition</w:t>
      </w:r>
      <w:r w:rsidRPr="00031B6C">
        <w:rPr>
          <w:rFonts w:asciiTheme="minorHAnsi" w:hAnsiTheme="minorHAnsi" w:cstheme="minorHAnsi"/>
          <w:color w:val="auto"/>
        </w:rPr>
        <w:t xml:space="preserve">ally, there is evidence suggesting that outflow layer </w:t>
      </w:r>
      <w:proofErr w:type="spellStart"/>
      <w:r w:rsidRPr="00031B6C">
        <w:rPr>
          <w:rFonts w:asciiTheme="minorHAnsi" w:hAnsiTheme="minorHAnsi" w:cstheme="minorHAnsi"/>
          <w:color w:val="auto"/>
        </w:rPr>
        <w:t>advective</w:t>
      </w:r>
      <w:proofErr w:type="spellEnd"/>
      <w:r w:rsidRPr="00031B6C">
        <w:rPr>
          <w:rFonts w:asciiTheme="minorHAnsi" w:hAnsiTheme="minorHAnsi" w:cstheme="minorHAnsi"/>
          <w:color w:val="auto"/>
        </w:rPr>
        <w:t xml:space="preserve"> processes may alter the outflow layer moisture distribution, including linkages via forced subsidence with mid- and low-level moisture variations.</w:t>
      </w:r>
    </w:p>
    <w:p w:rsidR="00AB6E0A" w:rsidRPr="00031B6C" w:rsidRDefault="00AB6E0A" w:rsidP="00510888">
      <w:pPr>
        <w:pStyle w:val="Default"/>
        <w:jc w:val="both"/>
        <w:rPr>
          <w:rFonts w:asciiTheme="minorHAnsi" w:hAnsiTheme="minorHAnsi" w:cstheme="minorHAnsi"/>
          <w:color w:val="auto"/>
        </w:rPr>
      </w:pPr>
    </w:p>
    <w:p w:rsidR="00AB6E0A" w:rsidRPr="00031B6C" w:rsidRDefault="00AB6E0A" w:rsidP="00AB6E0A">
      <w:pPr>
        <w:pStyle w:val="Default"/>
        <w:jc w:val="both"/>
        <w:rPr>
          <w:rFonts w:asciiTheme="minorHAnsi" w:hAnsiTheme="minorHAnsi" w:cstheme="minorHAnsi"/>
          <w:color w:val="auto"/>
        </w:rPr>
      </w:pPr>
      <w:r w:rsidRPr="00031B6C">
        <w:rPr>
          <w:rFonts w:asciiTheme="minorHAnsi" w:hAnsiTheme="minorHAnsi" w:cstheme="minorHAnsi"/>
          <w:color w:val="auto"/>
        </w:rPr>
        <w:t>Rapid intensification events are typically associated with expansion and/or intensification of the TC’s upper-level outflow structure in the form of outflow jet streaks, as inferred from geostationary satellite cloud-track winds.  Indeed, continuity demands that the upper-level outflow branch of the TC’s secondary circulation increase in concert with the increasing inner-core ascent and boundary layer inflow of the intensifying vortex.  However, it is unknown whether the outflow branch and/or the inflow/ascent branch drive the intensification of the secondary circulation and the associated spin-up of the TC inner core.</w:t>
      </w:r>
    </w:p>
    <w:p w:rsidR="00AB6E0A" w:rsidRPr="00031B6C" w:rsidRDefault="00AB6E0A" w:rsidP="00AB6E0A">
      <w:pPr>
        <w:pStyle w:val="Default"/>
        <w:jc w:val="both"/>
        <w:rPr>
          <w:rFonts w:asciiTheme="minorHAnsi" w:hAnsiTheme="minorHAnsi" w:cstheme="minorHAnsi"/>
          <w:color w:val="auto"/>
        </w:rPr>
      </w:pPr>
    </w:p>
    <w:p w:rsidR="00AB6E0A" w:rsidRPr="00031B6C" w:rsidRDefault="00AB6E0A" w:rsidP="00AB6E0A">
      <w:pPr>
        <w:pStyle w:val="Default"/>
        <w:jc w:val="both"/>
        <w:rPr>
          <w:rFonts w:asciiTheme="minorHAnsi" w:hAnsiTheme="minorHAnsi" w:cstheme="minorHAnsi"/>
          <w:color w:val="auto"/>
        </w:rPr>
      </w:pPr>
      <w:r w:rsidRPr="00031B6C">
        <w:rPr>
          <w:rFonts w:asciiTheme="minorHAnsi" w:hAnsiTheme="minorHAnsi" w:cstheme="minorHAnsi"/>
          <w:color w:val="auto"/>
        </w:rPr>
        <w:t xml:space="preserve">There are two conceptual paradigms concerning the role of the outflow branch in driving the secondary circulation.  The first paradigm is the concept of </w:t>
      </w:r>
      <w:r w:rsidRPr="00031B6C">
        <w:rPr>
          <w:rFonts w:asciiTheme="minorHAnsi" w:hAnsiTheme="minorHAnsi" w:cstheme="minorHAnsi"/>
          <w:i/>
          <w:color w:val="auto"/>
        </w:rPr>
        <w:t>active outflow</w:t>
      </w:r>
      <w:r w:rsidRPr="00031B6C">
        <w:rPr>
          <w:rFonts w:asciiTheme="minorHAnsi" w:hAnsiTheme="minorHAnsi" w:cstheme="minorHAnsi"/>
          <w:color w:val="auto"/>
        </w:rPr>
        <w:t xml:space="preserve">, in which an environmental feature such an upper-level trough forces the TC outflow layer to change, inducing subsequent changes in the inflow/ascent branch of the secondary circulation.  For example, </w:t>
      </w:r>
      <w:proofErr w:type="spellStart"/>
      <w:r w:rsidRPr="00031B6C">
        <w:rPr>
          <w:rFonts w:asciiTheme="minorHAnsi" w:hAnsiTheme="minorHAnsi" w:cstheme="minorHAnsi"/>
          <w:color w:val="auto"/>
        </w:rPr>
        <w:t>Nong</w:t>
      </w:r>
      <w:proofErr w:type="spellEnd"/>
      <w:r w:rsidRPr="00031B6C">
        <w:rPr>
          <w:rFonts w:asciiTheme="minorHAnsi" w:hAnsiTheme="minorHAnsi" w:cstheme="minorHAnsi"/>
          <w:color w:val="auto"/>
        </w:rPr>
        <w:t xml:space="preserve"> and Emanuel (2003) advocate that vortex internal processes (e.g. eyewall replacement cycles) respond to external forcing by the outflow layer.  In this sense, the outflow layer actively forces changes in the low level vortex.  The second paradigm is the concept of </w:t>
      </w:r>
      <w:r w:rsidRPr="00031B6C">
        <w:rPr>
          <w:rFonts w:asciiTheme="minorHAnsi" w:hAnsiTheme="minorHAnsi" w:cstheme="minorHAnsi"/>
          <w:i/>
          <w:color w:val="auto"/>
        </w:rPr>
        <w:t>passive outflow</w:t>
      </w:r>
      <w:r w:rsidRPr="00031B6C">
        <w:rPr>
          <w:rFonts w:asciiTheme="minorHAnsi" w:hAnsiTheme="minorHAnsi" w:cstheme="minorHAnsi"/>
          <w:color w:val="auto"/>
        </w:rPr>
        <w:t>, in which changes in the inner core convection and inflow layer govern the secondary circulation, inducing subsequent changes in the outflow branch of the secondary circulation. Along these lines, Sang et al. (2008) advocate that deep convection and boundary layer processes are dominant, and that the outflow layer responds passively to these processes.</w:t>
      </w:r>
    </w:p>
    <w:p w:rsidR="00AB6E0A" w:rsidRPr="00031B6C" w:rsidRDefault="00AB6E0A" w:rsidP="00AB6E0A">
      <w:pPr>
        <w:pStyle w:val="Default"/>
        <w:jc w:val="both"/>
        <w:rPr>
          <w:rFonts w:asciiTheme="minorHAnsi" w:hAnsiTheme="minorHAnsi" w:cstheme="minorHAnsi"/>
          <w:color w:val="auto"/>
        </w:rPr>
      </w:pPr>
    </w:p>
    <w:p w:rsidR="00AB6E0A" w:rsidRPr="00031B6C" w:rsidRDefault="00AB6E0A" w:rsidP="00AB6E0A">
      <w:pPr>
        <w:pStyle w:val="Default"/>
        <w:jc w:val="both"/>
        <w:rPr>
          <w:rFonts w:asciiTheme="minorHAnsi" w:hAnsiTheme="minorHAnsi" w:cstheme="minorHAnsi"/>
          <w:color w:val="auto"/>
        </w:rPr>
      </w:pPr>
      <w:r w:rsidRPr="00031B6C">
        <w:rPr>
          <w:rFonts w:asciiTheme="minorHAnsi" w:hAnsiTheme="minorHAnsi" w:cstheme="minorHAnsi"/>
          <w:color w:val="auto"/>
        </w:rPr>
        <w:t xml:space="preserve">In nature, the rapid intensification of a TC likely does not take place in a purely active or passive outflow scenario, but rather changes to </w:t>
      </w:r>
      <w:r w:rsidRPr="00031B6C">
        <w:rPr>
          <w:rFonts w:asciiTheme="minorHAnsi" w:hAnsiTheme="minorHAnsi" w:cstheme="minorHAnsi"/>
          <w:i/>
          <w:color w:val="auto"/>
        </w:rPr>
        <w:t>both</w:t>
      </w:r>
      <w:r w:rsidRPr="00031B6C">
        <w:rPr>
          <w:rFonts w:asciiTheme="minorHAnsi" w:hAnsiTheme="minorHAnsi" w:cstheme="minorHAnsi"/>
          <w:color w:val="auto"/>
        </w:rPr>
        <w:t xml:space="preserve"> the outflow and inflow/ascent branches drive the evolution of the secondary circulation. The relative roles of the outflow and inflow/ascent branches in driving the time-evolution of the secondary circulation are poorly understood, both in general and on a storm-by-storm basis.  New research is required to elucidate the connections between the outflow and inflow/ascent branches of the secondary circulation, and how they vary as a function of the vortex characteristics and TC environmental characteristics in realistic scenarios.</w:t>
      </w:r>
    </w:p>
    <w:p w:rsidR="00510888" w:rsidRPr="00031B6C" w:rsidRDefault="00510888" w:rsidP="00510888">
      <w:pPr>
        <w:pStyle w:val="Default"/>
        <w:jc w:val="both"/>
        <w:rPr>
          <w:rFonts w:asciiTheme="minorHAnsi" w:hAnsiTheme="minorHAnsi" w:cstheme="minorHAnsi"/>
          <w:color w:val="auto"/>
        </w:rPr>
      </w:pPr>
    </w:p>
    <w:p w:rsidR="005D2FD8" w:rsidRPr="00031B6C" w:rsidRDefault="00510888" w:rsidP="005D2FD8">
      <w:pPr>
        <w:pStyle w:val="Default"/>
        <w:jc w:val="both"/>
        <w:rPr>
          <w:rFonts w:asciiTheme="minorHAnsi" w:hAnsiTheme="minorHAnsi" w:cstheme="minorHAnsi"/>
          <w:color w:val="auto"/>
        </w:rPr>
      </w:pPr>
      <w:r w:rsidRPr="00031B6C">
        <w:rPr>
          <w:rFonts w:asciiTheme="minorHAnsi" w:hAnsiTheme="minorHAnsi" w:cstheme="minorHAnsi"/>
          <w:color w:val="auto"/>
        </w:rPr>
        <w:t xml:space="preserve">We have identified three key </w:t>
      </w:r>
      <w:r w:rsidR="004B6429" w:rsidRPr="00031B6C">
        <w:rPr>
          <w:rFonts w:asciiTheme="minorHAnsi" w:hAnsiTheme="minorHAnsi" w:cstheme="minorHAnsi"/>
          <w:color w:val="auto"/>
        </w:rPr>
        <w:t xml:space="preserve">TCI </w:t>
      </w:r>
      <w:r w:rsidRPr="00031B6C">
        <w:rPr>
          <w:rFonts w:asciiTheme="minorHAnsi" w:hAnsiTheme="minorHAnsi" w:cstheme="minorHAnsi"/>
          <w:color w:val="auto"/>
        </w:rPr>
        <w:t xml:space="preserve">science </w:t>
      </w:r>
      <w:r w:rsidR="005D2FD8" w:rsidRPr="00031B6C">
        <w:rPr>
          <w:rFonts w:asciiTheme="minorHAnsi" w:hAnsiTheme="minorHAnsi" w:cstheme="minorHAnsi"/>
          <w:color w:val="auto"/>
        </w:rPr>
        <w:t>hypotheses</w:t>
      </w:r>
      <w:r w:rsidRPr="00031B6C">
        <w:rPr>
          <w:rFonts w:asciiTheme="minorHAnsi" w:hAnsiTheme="minorHAnsi" w:cstheme="minorHAnsi"/>
          <w:color w:val="auto"/>
        </w:rPr>
        <w:t xml:space="preserve"> </w:t>
      </w:r>
      <w:r w:rsidR="004B6429" w:rsidRPr="00031B6C">
        <w:rPr>
          <w:rFonts w:asciiTheme="minorHAnsi" w:hAnsiTheme="minorHAnsi" w:cstheme="minorHAnsi"/>
          <w:color w:val="auto"/>
        </w:rPr>
        <w:t>focused on the</w:t>
      </w:r>
      <w:r w:rsidRPr="00031B6C">
        <w:rPr>
          <w:rFonts w:asciiTheme="minorHAnsi" w:hAnsiTheme="minorHAnsi" w:cstheme="minorHAnsi"/>
          <w:color w:val="auto"/>
        </w:rPr>
        <w:t xml:space="preserve"> TC outflow</w:t>
      </w:r>
      <w:r w:rsidR="004B6429" w:rsidRPr="00031B6C">
        <w:rPr>
          <w:rFonts w:asciiTheme="minorHAnsi" w:hAnsiTheme="minorHAnsi" w:cstheme="minorHAnsi"/>
          <w:color w:val="auto"/>
        </w:rPr>
        <w:t xml:space="preserve"> layer</w:t>
      </w:r>
      <w:r w:rsidR="005D2FD8" w:rsidRPr="00031B6C">
        <w:rPr>
          <w:rFonts w:asciiTheme="minorHAnsi" w:hAnsiTheme="minorHAnsi" w:cstheme="minorHAnsi"/>
          <w:color w:val="auto"/>
        </w:rPr>
        <w:t xml:space="preserve">.  </w:t>
      </w:r>
    </w:p>
    <w:p w:rsidR="00F77B0A" w:rsidRPr="00031B6C" w:rsidRDefault="00F77B0A" w:rsidP="005D2FD8">
      <w:pPr>
        <w:pStyle w:val="Default"/>
        <w:jc w:val="both"/>
        <w:rPr>
          <w:rFonts w:asciiTheme="minorHAnsi" w:hAnsiTheme="minorHAnsi" w:cstheme="minorHAnsi"/>
          <w:color w:val="auto"/>
        </w:rPr>
      </w:pPr>
    </w:p>
    <w:p w:rsidR="005D2FD8" w:rsidRPr="00031B6C" w:rsidRDefault="005D2FD8" w:rsidP="005B1B24">
      <w:pPr>
        <w:pStyle w:val="Default"/>
        <w:numPr>
          <w:ilvl w:val="0"/>
          <w:numId w:val="2"/>
        </w:numPr>
        <w:jc w:val="both"/>
        <w:rPr>
          <w:rFonts w:asciiTheme="minorHAnsi" w:hAnsiTheme="minorHAnsi" w:cstheme="minorHAnsi"/>
        </w:rPr>
      </w:pPr>
      <w:r w:rsidRPr="00031B6C">
        <w:rPr>
          <w:rFonts w:asciiTheme="minorHAnsi" w:hAnsiTheme="minorHAnsi" w:cstheme="minorHAnsi"/>
        </w:rPr>
        <w:t xml:space="preserve">Tropical cyclone intensity is </w:t>
      </w:r>
      <w:r w:rsidR="005B1B24" w:rsidRPr="00031B6C">
        <w:rPr>
          <w:rFonts w:asciiTheme="minorHAnsi" w:hAnsiTheme="minorHAnsi" w:cstheme="minorHAnsi"/>
        </w:rPr>
        <w:t xml:space="preserve">primarily </w:t>
      </w:r>
      <w:r w:rsidR="00A81B5A" w:rsidRPr="00031B6C">
        <w:rPr>
          <w:rFonts w:asciiTheme="minorHAnsi" w:hAnsiTheme="minorHAnsi" w:cstheme="minorHAnsi"/>
        </w:rPr>
        <w:t>influenced</w:t>
      </w:r>
      <w:r w:rsidRPr="00031B6C">
        <w:rPr>
          <w:rFonts w:asciiTheme="minorHAnsi" w:hAnsiTheme="minorHAnsi" w:cstheme="minorHAnsi"/>
        </w:rPr>
        <w:t xml:space="preserve"> by environmental </w:t>
      </w:r>
      <w:r w:rsidR="005B1B24" w:rsidRPr="00031B6C">
        <w:rPr>
          <w:rFonts w:asciiTheme="minorHAnsi" w:hAnsiTheme="minorHAnsi" w:cstheme="minorHAnsi"/>
        </w:rPr>
        <w:t>effects and interaction with the TC</w:t>
      </w:r>
      <w:r w:rsidRPr="00031B6C">
        <w:rPr>
          <w:rFonts w:asciiTheme="minorHAnsi" w:hAnsiTheme="minorHAnsi" w:cstheme="minorHAnsi"/>
        </w:rPr>
        <w:t xml:space="preserve">. </w:t>
      </w:r>
      <w:r w:rsidR="005B1B24" w:rsidRPr="00031B6C">
        <w:rPr>
          <w:rFonts w:asciiTheme="minorHAnsi" w:hAnsiTheme="minorHAnsi" w:cstheme="minorHAnsi"/>
        </w:rPr>
        <w:t xml:space="preserve">Processes that are thought to be especially relevant for this hypothesis include:  eddy angular momentum fluxes, spatial and temporal organization </w:t>
      </w:r>
      <w:r w:rsidR="005B1B24" w:rsidRPr="00031B6C">
        <w:rPr>
          <w:rFonts w:asciiTheme="minorHAnsi" w:hAnsiTheme="minorHAnsi" w:cstheme="minorHAnsi"/>
        </w:rPr>
        <w:lastRenderedPageBreak/>
        <w:t>of outflow owing to environmental potential vorticity, and the f</w:t>
      </w:r>
      <w:r w:rsidR="007B109E" w:rsidRPr="00031B6C">
        <w:rPr>
          <w:rFonts w:asciiTheme="minorHAnsi" w:hAnsiTheme="minorHAnsi" w:cstheme="minorHAnsi"/>
        </w:rPr>
        <w:t>eedback between the outflow and environment via secondary circulations</w:t>
      </w:r>
      <w:r w:rsidR="005B1B24" w:rsidRPr="00031B6C">
        <w:rPr>
          <w:rFonts w:asciiTheme="minorHAnsi" w:hAnsiTheme="minorHAnsi" w:cstheme="minorHAnsi"/>
        </w:rPr>
        <w:t xml:space="preserve">.  </w:t>
      </w:r>
      <w:r w:rsidR="007B109E" w:rsidRPr="00031B6C">
        <w:rPr>
          <w:rFonts w:asciiTheme="minorHAnsi" w:hAnsiTheme="minorHAnsi" w:cstheme="minorHAnsi"/>
        </w:rPr>
        <w:t>Observations of outflow thermodynamic and kinematic characteristics</w:t>
      </w:r>
      <w:r w:rsidR="005B1B24" w:rsidRPr="00031B6C">
        <w:rPr>
          <w:rFonts w:asciiTheme="minorHAnsi" w:hAnsiTheme="minorHAnsi" w:cstheme="minorHAnsi"/>
        </w:rPr>
        <w:t xml:space="preserve"> are especially important for this hypothesis.  </w:t>
      </w:r>
      <w:r w:rsidR="007B109E" w:rsidRPr="00031B6C">
        <w:rPr>
          <w:rFonts w:asciiTheme="minorHAnsi" w:hAnsiTheme="minorHAnsi" w:cstheme="minorHAnsi"/>
        </w:rPr>
        <w:t xml:space="preserve">Observations at </w:t>
      </w:r>
      <w:r w:rsidR="005B1B24" w:rsidRPr="00031B6C">
        <w:rPr>
          <w:rFonts w:asciiTheme="minorHAnsi" w:hAnsiTheme="minorHAnsi" w:cstheme="minorHAnsi"/>
        </w:rPr>
        <w:t xml:space="preserve">the </w:t>
      </w:r>
      <w:r w:rsidR="007B109E" w:rsidRPr="00031B6C">
        <w:rPr>
          <w:rFonts w:asciiTheme="minorHAnsi" w:hAnsiTheme="minorHAnsi" w:cstheme="minorHAnsi"/>
        </w:rPr>
        <w:t xml:space="preserve">interface between </w:t>
      </w:r>
      <w:r w:rsidR="005B1B24" w:rsidRPr="00031B6C">
        <w:rPr>
          <w:rFonts w:asciiTheme="minorHAnsi" w:hAnsiTheme="minorHAnsi" w:cstheme="minorHAnsi"/>
        </w:rPr>
        <w:t xml:space="preserve">the </w:t>
      </w:r>
      <w:r w:rsidR="007B109E" w:rsidRPr="00031B6C">
        <w:rPr>
          <w:rFonts w:asciiTheme="minorHAnsi" w:hAnsiTheme="minorHAnsi" w:cstheme="minorHAnsi"/>
        </w:rPr>
        <w:t>outflow and upper-level environmental features</w:t>
      </w:r>
      <w:r w:rsidR="005B1B24" w:rsidRPr="00031B6C">
        <w:rPr>
          <w:rFonts w:asciiTheme="minorHAnsi" w:hAnsiTheme="minorHAnsi" w:cstheme="minorHAnsi"/>
        </w:rPr>
        <w:t xml:space="preserve"> will be crucial.  </w:t>
      </w:r>
      <w:r w:rsidR="005B1B24" w:rsidRPr="00031B6C">
        <w:rPr>
          <w:rFonts w:asciiTheme="minorHAnsi" w:hAnsiTheme="minorHAnsi" w:cstheme="minorHAnsi"/>
          <w:color w:val="auto"/>
        </w:rPr>
        <w:t>T</w:t>
      </w:r>
      <w:r w:rsidRPr="00031B6C">
        <w:rPr>
          <w:rFonts w:asciiTheme="minorHAnsi" w:hAnsiTheme="minorHAnsi" w:cstheme="minorHAnsi"/>
          <w:color w:val="auto"/>
        </w:rPr>
        <w:t>he interactions of mid-latitude troughs, upper-level closed cyclonic circulations, and pre-existing convective outflow</w:t>
      </w:r>
      <w:r w:rsidR="005B1B24" w:rsidRPr="00031B6C">
        <w:rPr>
          <w:rFonts w:asciiTheme="minorHAnsi" w:hAnsiTheme="minorHAnsi" w:cstheme="minorHAnsi"/>
          <w:color w:val="auto"/>
        </w:rPr>
        <w:t xml:space="preserve"> will be important</w:t>
      </w:r>
      <w:r w:rsidRPr="00031B6C">
        <w:rPr>
          <w:rFonts w:asciiTheme="minorHAnsi" w:hAnsiTheme="minorHAnsi" w:cstheme="minorHAnsi"/>
          <w:color w:val="auto"/>
        </w:rPr>
        <w:t>.</w:t>
      </w:r>
    </w:p>
    <w:p w:rsidR="005B1B24" w:rsidRPr="00031B6C" w:rsidRDefault="005B1B24" w:rsidP="005B1B24">
      <w:pPr>
        <w:pStyle w:val="Default"/>
        <w:ind w:left="720"/>
        <w:jc w:val="both"/>
        <w:rPr>
          <w:rFonts w:asciiTheme="minorHAnsi" w:hAnsiTheme="minorHAnsi" w:cstheme="minorHAnsi"/>
        </w:rPr>
      </w:pPr>
    </w:p>
    <w:p w:rsidR="005D2FD8" w:rsidRPr="00031B6C" w:rsidRDefault="005D2FD8" w:rsidP="005B1B24">
      <w:pPr>
        <w:pStyle w:val="Default"/>
        <w:numPr>
          <w:ilvl w:val="0"/>
          <w:numId w:val="2"/>
        </w:numPr>
        <w:jc w:val="both"/>
        <w:rPr>
          <w:rFonts w:asciiTheme="minorHAnsi" w:hAnsiTheme="minorHAnsi" w:cstheme="minorHAnsi"/>
        </w:rPr>
      </w:pPr>
      <w:r w:rsidRPr="00031B6C">
        <w:rPr>
          <w:rFonts w:asciiTheme="minorHAnsi" w:hAnsiTheme="minorHAnsi" w:cstheme="minorHAnsi"/>
          <w:color w:val="auto"/>
        </w:rPr>
        <w:t xml:space="preserve">Tropical cyclone intensity is </w:t>
      </w:r>
      <w:r w:rsidR="005B1B24" w:rsidRPr="00031B6C">
        <w:rPr>
          <w:rFonts w:asciiTheme="minorHAnsi" w:hAnsiTheme="minorHAnsi" w:cstheme="minorHAnsi"/>
          <w:color w:val="auto"/>
        </w:rPr>
        <w:t xml:space="preserve">primarily influenced by internally-forced </w:t>
      </w:r>
      <w:r w:rsidRPr="00031B6C">
        <w:rPr>
          <w:rFonts w:asciiTheme="minorHAnsi" w:hAnsiTheme="minorHAnsi" w:cstheme="minorHAnsi"/>
          <w:color w:val="auto"/>
        </w:rPr>
        <w:t xml:space="preserve">outflow. </w:t>
      </w:r>
      <w:r w:rsidR="005B1B24" w:rsidRPr="00031B6C">
        <w:rPr>
          <w:rFonts w:asciiTheme="minorHAnsi" w:hAnsiTheme="minorHAnsi" w:cstheme="minorHAnsi"/>
          <w:color w:val="auto"/>
        </w:rPr>
        <w:t xml:space="preserve"> </w:t>
      </w:r>
      <w:r w:rsidR="005B1B24" w:rsidRPr="00031B6C">
        <w:rPr>
          <w:rFonts w:asciiTheme="minorHAnsi" w:hAnsiTheme="minorHAnsi" w:cstheme="minorHAnsi"/>
        </w:rPr>
        <w:t xml:space="preserve">Processes that are thought to be especially relevant for this hypothesis include:  diurnal forcing of convection, </w:t>
      </w:r>
      <w:proofErr w:type="spellStart"/>
      <w:r w:rsidR="005B1B24" w:rsidRPr="00031B6C">
        <w:rPr>
          <w:rFonts w:asciiTheme="minorHAnsi" w:hAnsiTheme="minorHAnsi" w:cstheme="minorHAnsi"/>
        </w:rPr>
        <w:t>diabatic</w:t>
      </w:r>
      <w:proofErr w:type="spellEnd"/>
      <w:r w:rsidR="005B1B24" w:rsidRPr="00031B6C">
        <w:rPr>
          <w:rFonts w:asciiTheme="minorHAnsi" w:hAnsiTheme="minorHAnsi" w:cstheme="minorHAnsi"/>
        </w:rPr>
        <w:t xml:space="preserve"> forcing of the outflow layer, outflow self-stratification, and cloud-radiative interactions with the outflow layer.  </w:t>
      </w:r>
      <w:r w:rsidR="007B109E" w:rsidRPr="00031B6C">
        <w:rPr>
          <w:rFonts w:asciiTheme="minorHAnsi" w:hAnsiTheme="minorHAnsi" w:cstheme="minorHAnsi"/>
        </w:rPr>
        <w:t xml:space="preserve">Observations of thermodynamic and kinematic properties of </w:t>
      </w:r>
      <w:r w:rsidR="005B1B24" w:rsidRPr="00031B6C">
        <w:rPr>
          <w:rFonts w:asciiTheme="minorHAnsi" w:hAnsiTheme="minorHAnsi" w:cstheme="minorHAnsi"/>
        </w:rPr>
        <w:t xml:space="preserve">the </w:t>
      </w:r>
      <w:r w:rsidR="007B109E" w:rsidRPr="00031B6C">
        <w:rPr>
          <w:rFonts w:asciiTheme="minorHAnsi" w:hAnsiTheme="minorHAnsi" w:cstheme="minorHAnsi"/>
        </w:rPr>
        <w:t xml:space="preserve">inflow and ascent branches of </w:t>
      </w:r>
      <w:r w:rsidR="005B1B24" w:rsidRPr="00031B6C">
        <w:rPr>
          <w:rFonts w:asciiTheme="minorHAnsi" w:hAnsiTheme="minorHAnsi" w:cstheme="minorHAnsi"/>
        </w:rPr>
        <w:t xml:space="preserve">the secondary circulation, as well as the air-sea interface, are relevant for this hypothesis.  </w:t>
      </w:r>
    </w:p>
    <w:p w:rsidR="005B1B24" w:rsidRPr="00031B6C" w:rsidRDefault="005B1B24" w:rsidP="005B1B24">
      <w:pPr>
        <w:pStyle w:val="Default"/>
        <w:jc w:val="both"/>
        <w:rPr>
          <w:rFonts w:asciiTheme="minorHAnsi" w:hAnsiTheme="minorHAnsi" w:cstheme="minorHAnsi"/>
          <w:color w:val="auto"/>
        </w:rPr>
      </w:pPr>
    </w:p>
    <w:p w:rsidR="00510888" w:rsidRPr="00031B6C" w:rsidRDefault="005D2FD8" w:rsidP="005D2FD8">
      <w:pPr>
        <w:pStyle w:val="Default"/>
        <w:numPr>
          <w:ilvl w:val="0"/>
          <w:numId w:val="2"/>
        </w:numPr>
        <w:jc w:val="both"/>
        <w:rPr>
          <w:rFonts w:asciiTheme="minorHAnsi" w:hAnsiTheme="minorHAnsi" w:cstheme="minorHAnsi"/>
          <w:color w:val="auto"/>
        </w:rPr>
      </w:pPr>
      <w:r w:rsidRPr="00031B6C">
        <w:rPr>
          <w:rFonts w:asciiTheme="minorHAnsi" w:hAnsiTheme="minorHAnsi" w:cstheme="minorHAnsi"/>
          <w:color w:val="auto"/>
        </w:rPr>
        <w:t>The predictability of tropical cyclone intensity, structure, and its outflow can be enhanced through assimilation of TCI observations in sensitive regions in the inner core, environment, and outflow regions.</w:t>
      </w:r>
      <w:r w:rsidR="005B1B24" w:rsidRPr="00031B6C">
        <w:rPr>
          <w:rFonts w:asciiTheme="minorHAnsi" w:hAnsiTheme="minorHAnsi" w:cstheme="minorHAnsi"/>
          <w:color w:val="auto"/>
        </w:rPr>
        <w:t xml:space="preserve">  Observations within and outside sensitive regions will be important to assess and understand the impact.  Initial condition sensitivity can be assessed using ensemble-or </w:t>
      </w:r>
      <w:proofErr w:type="spellStart"/>
      <w:r w:rsidR="005B1B24" w:rsidRPr="00031B6C">
        <w:rPr>
          <w:rFonts w:asciiTheme="minorHAnsi" w:hAnsiTheme="minorHAnsi" w:cstheme="minorHAnsi"/>
          <w:color w:val="auto"/>
        </w:rPr>
        <w:t>adjoint</w:t>
      </w:r>
      <w:proofErr w:type="spellEnd"/>
      <w:r w:rsidR="005B1B24" w:rsidRPr="00031B6C">
        <w:rPr>
          <w:rFonts w:asciiTheme="minorHAnsi" w:hAnsiTheme="minorHAnsi" w:cstheme="minorHAnsi"/>
          <w:color w:val="auto"/>
        </w:rPr>
        <w:t xml:space="preserve">-based methods.  </w:t>
      </w:r>
    </w:p>
    <w:p w:rsidR="00510888" w:rsidRPr="00031B6C" w:rsidRDefault="00510888" w:rsidP="00510888">
      <w:pPr>
        <w:pStyle w:val="Default"/>
        <w:jc w:val="both"/>
        <w:rPr>
          <w:rFonts w:asciiTheme="minorHAnsi" w:hAnsiTheme="minorHAnsi" w:cstheme="minorHAnsi"/>
          <w:color w:val="auto"/>
          <w:highlight w:val="yellow"/>
        </w:rPr>
      </w:pPr>
    </w:p>
    <w:p w:rsidR="00E53B21" w:rsidRPr="00031B6C" w:rsidRDefault="00E53B21" w:rsidP="00E53B21">
      <w:pPr>
        <w:pStyle w:val="Default"/>
        <w:jc w:val="both"/>
        <w:rPr>
          <w:rFonts w:asciiTheme="minorHAnsi" w:hAnsiTheme="minorHAnsi" w:cstheme="minorHAnsi"/>
          <w:b/>
          <w:color w:val="auto"/>
        </w:rPr>
      </w:pPr>
      <w:r w:rsidRPr="00031B6C">
        <w:rPr>
          <w:rFonts w:asciiTheme="minorHAnsi" w:hAnsiTheme="minorHAnsi" w:cstheme="minorHAnsi"/>
          <w:b/>
          <w:color w:val="auto"/>
        </w:rPr>
        <w:t>Overview of project observing systems</w:t>
      </w:r>
    </w:p>
    <w:p w:rsidR="00E53B21" w:rsidRPr="00031B6C" w:rsidRDefault="00E53B21" w:rsidP="00E53B21">
      <w:pPr>
        <w:pStyle w:val="Default"/>
        <w:jc w:val="both"/>
        <w:rPr>
          <w:rFonts w:asciiTheme="minorHAnsi" w:hAnsiTheme="minorHAnsi" w:cstheme="minorHAnsi"/>
          <w:color w:val="auto"/>
        </w:rPr>
      </w:pPr>
    </w:p>
    <w:p w:rsidR="00E53B21" w:rsidRPr="00031B6C" w:rsidRDefault="00E53B21" w:rsidP="00E53B21">
      <w:pPr>
        <w:pStyle w:val="Default"/>
        <w:jc w:val="both"/>
        <w:rPr>
          <w:rFonts w:asciiTheme="minorHAnsi" w:hAnsiTheme="minorHAnsi" w:cstheme="minorHAnsi"/>
          <w:color w:val="auto"/>
        </w:rPr>
      </w:pPr>
      <w:r w:rsidRPr="00031B6C">
        <w:rPr>
          <w:rFonts w:asciiTheme="minorHAnsi" w:hAnsiTheme="minorHAnsi" w:cstheme="minorHAnsi"/>
          <w:color w:val="auto"/>
        </w:rPr>
        <w:t xml:space="preserve">TCI is an Office of Naval Research Direct Research Initiative collaborative experiment with the Naval Research Laboratory, industry, and Universities. The TCI experiment will take place over the Atlantic, Gulf of Mexico, and potentially the Eastern Pacific when a storm is approximately in range </w:t>
      </w:r>
      <w:r w:rsidR="00FC11B9">
        <w:rPr>
          <w:rFonts w:asciiTheme="minorHAnsi" w:hAnsiTheme="minorHAnsi" w:cstheme="minorHAnsi"/>
          <w:color w:val="auto"/>
        </w:rPr>
        <w:t>(within</w:t>
      </w:r>
      <w:r w:rsidR="00815EEA">
        <w:rPr>
          <w:rFonts w:asciiTheme="minorHAnsi" w:hAnsiTheme="minorHAnsi" w:cstheme="minorHAnsi"/>
          <w:color w:val="auto"/>
        </w:rPr>
        <w:t xml:space="preserve"> </w:t>
      </w:r>
      <w:r w:rsidRPr="00031B6C">
        <w:rPr>
          <w:rFonts w:asciiTheme="minorHAnsi" w:hAnsiTheme="minorHAnsi" w:cstheme="minorHAnsi"/>
          <w:color w:val="auto"/>
        </w:rPr>
        <w:t>900</w:t>
      </w:r>
      <w:r w:rsidR="000E1A6D" w:rsidRPr="00031B6C">
        <w:rPr>
          <w:rFonts w:asciiTheme="minorHAnsi" w:hAnsiTheme="minorHAnsi" w:cstheme="minorHAnsi"/>
          <w:color w:val="auto"/>
        </w:rPr>
        <w:t xml:space="preserve"> nm</w:t>
      </w:r>
      <w:r w:rsidR="00FC11B9">
        <w:rPr>
          <w:rFonts w:asciiTheme="minorHAnsi" w:hAnsiTheme="minorHAnsi" w:cstheme="minorHAnsi"/>
          <w:color w:val="auto"/>
        </w:rPr>
        <w:t>)</w:t>
      </w:r>
      <w:r w:rsidR="000E1A6D" w:rsidRPr="00031B6C">
        <w:rPr>
          <w:rFonts w:asciiTheme="minorHAnsi" w:hAnsiTheme="minorHAnsi" w:cstheme="minorHAnsi"/>
          <w:color w:val="auto"/>
        </w:rPr>
        <w:t xml:space="preserve"> </w:t>
      </w:r>
      <w:r w:rsidR="00FC11B9">
        <w:rPr>
          <w:rFonts w:asciiTheme="minorHAnsi" w:hAnsiTheme="minorHAnsi" w:cstheme="minorHAnsi"/>
          <w:color w:val="auto"/>
        </w:rPr>
        <w:t>of an</w:t>
      </w:r>
      <w:r w:rsidR="000E1A6D" w:rsidRPr="00031B6C">
        <w:rPr>
          <w:rFonts w:asciiTheme="minorHAnsi" w:hAnsiTheme="minorHAnsi" w:cstheme="minorHAnsi"/>
          <w:color w:val="auto"/>
        </w:rPr>
        <w:t xml:space="preserve"> a</w:t>
      </w:r>
      <w:r w:rsidRPr="00031B6C">
        <w:rPr>
          <w:rFonts w:asciiTheme="minorHAnsi" w:hAnsiTheme="minorHAnsi" w:cstheme="minorHAnsi"/>
          <w:color w:val="auto"/>
        </w:rPr>
        <w:t>ircraft site. Key field observations will be taken from the NASA WB-57</w:t>
      </w:r>
      <w:r w:rsidR="00CA4BF7" w:rsidRPr="00031B6C">
        <w:rPr>
          <w:rFonts w:asciiTheme="minorHAnsi" w:hAnsiTheme="minorHAnsi" w:cstheme="minorHAnsi"/>
          <w:color w:val="auto"/>
        </w:rPr>
        <w:t xml:space="preserve"> </w:t>
      </w:r>
      <w:r w:rsidR="000E1A6D" w:rsidRPr="00031B6C">
        <w:rPr>
          <w:rFonts w:asciiTheme="minorHAnsi" w:hAnsiTheme="minorHAnsi" w:cstheme="minorHAnsi"/>
          <w:color w:val="auto"/>
        </w:rPr>
        <w:t>a</w:t>
      </w:r>
      <w:r w:rsidRPr="00031B6C">
        <w:rPr>
          <w:rFonts w:asciiTheme="minorHAnsi" w:hAnsiTheme="minorHAnsi" w:cstheme="minorHAnsi"/>
          <w:color w:val="auto"/>
        </w:rPr>
        <w:t xml:space="preserve">ircraft. The sensors carried by the WB-57 </w:t>
      </w:r>
      <w:r w:rsidR="000E1A6D" w:rsidRPr="00031B6C">
        <w:rPr>
          <w:rFonts w:asciiTheme="minorHAnsi" w:hAnsiTheme="minorHAnsi" w:cstheme="minorHAnsi"/>
          <w:color w:val="auto"/>
        </w:rPr>
        <w:t xml:space="preserve">are expected to </w:t>
      </w:r>
      <w:r w:rsidRPr="00031B6C">
        <w:rPr>
          <w:rFonts w:asciiTheme="minorHAnsi" w:hAnsiTheme="minorHAnsi" w:cstheme="minorHAnsi"/>
          <w:color w:val="auto"/>
        </w:rPr>
        <w:t xml:space="preserve">include the High Definition Sounding System (HDSS) Dropsondes and </w:t>
      </w:r>
      <w:r w:rsidR="000E1A6D" w:rsidRPr="00031B6C">
        <w:rPr>
          <w:rFonts w:asciiTheme="minorHAnsi" w:hAnsiTheme="minorHAnsi" w:cstheme="minorHAnsi"/>
          <w:color w:val="auto"/>
        </w:rPr>
        <w:t>the Hurricane Imaging Radiometer (HIRAD)</w:t>
      </w:r>
      <w:r w:rsidRPr="00031B6C">
        <w:rPr>
          <w:rFonts w:asciiTheme="minorHAnsi" w:hAnsiTheme="minorHAnsi" w:cstheme="minorHAnsi"/>
          <w:color w:val="auto"/>
        </w:rPr>
        <w:t xml:space="preserve">. The HDSS deploys </w:t>
      </w:r>
      <w:proofErr w:type="spellStart"/>
      <w:r w:rsidRPr="00031B6C">
        <w:rPr>
          <w:rFonts w:asciiTheme="minorHAnsi" w:hAnsiTheme="minorHAnsi" w:cstheme="minorHAnsi"/>
          <w:color w:val="auto"/>
        </w:rPr>
        <w:t>eXpendable</w:t>
      </w:r>
      <w:proofErr w:type="spellEnd"/>
      <w:r w:rsidRPr="00031B6C">
        <w:rPr>
          <w:rFonts w:asciiTheme="minorHAnsi" w:hAnsiTheme="minorHAnsi" w:cstheme="minorHAnsi"/>
          <w:color w:val="auto"/>
        </w:rPr>
        <w:t xml:space="preserve"> Digital </w:t>
      </w:r>
      <w:proofErr w:type="spellStart"/>
      <w:r w:rsidRPr="00031B6C">
        <w:rPr>
          <w:rFonts w:asciiTheme="minorHAnsi" w:hAnsiTheme="minorHAnsi" w:cstheme="minorHAnsi"/>
          <w:color w:val="auto"/>
        </w:rPr>
        <w:t>Dropsondes</w:t>
      </w:r>
      <w:proofErr w:type="spellEnd"/>
      <w:r w:rsidRPr="00031B6C">
        <w:rPr>
          <w:rFonts w:asciiTheme="minorHAnsi" w:hAnsiTheme="minorHAnsi" w:cstheme="minorHAnsi"/>
          <w:color w:val="auto"/>
        </w:rPr>
        <w:t xml:space="preserve"> (XDD) with a dual Automated Dropsonde Dispenser (ADD) to measure air temperature, pressure, relative humidity, horizontal wind speed, wind direction, and sea</w:t>
      </w:r>
      <w:r w:rsidR="00FC11B9">
        <w:rPr>
          <w:rFonts w:asciiTheme="minorHAnsi" w:hAnsiTheme="minorHAnsi" w:cstheme="minorHAnsi"/>
          <w:color w:val="auto"/>
        </w:rPr>
        <w:t>-</w:t>
      </w:r>
      <w:r w:rsidRPr="00031B6C">
        <w:rPr>
          <w:rFonts w:asciiTheme="minorHAnsi" w:hAnsiTheme="minorHAnsi" w:cstheme="minorHAnsi"/>
          <w:color w:val="auto"/>
        </w:rPr>
        <w:t xml:space="preserve">surface temperature. </w:t>
      </w:r>
      <w:r w:rsidR="000E1A6D" w:rsidRPr="00031B6C">
        <w:rPr>
          <w:rFonts w:asciiTheme="minorHAnsi" w:hAnsiTheme="minorHAnsi" w:cstheme="minorHAnsi"/>
          <w:color w:val="auto"/>
        </w:rPr>
        <w:t xml:space="preserve">HIRAD </w:t>
      </w:r>
      <w:r w:rsidRPr="00031B6C">
        <w:rPr>
          <w:rFonts w:asciiTheme="minorHAnsi" w:hAnsiTheme="minorHAnsi" w:cstheme="minorHAnsi"/>
          <w:color w:val="auto"/>
        </w:rPr>
        <w:t xml:space="preserve">is an airborne passive microwave radiometer to collect ocean surface wind speeds in </w:t>
      </w:r>
      <w:r w:rsidR="00FC11B9">
        <w:rPr>
          <w:rFonts w:asciiTheme="minorHAnsi" w:hAnsiTheme="minorHAnsi" w:cstheme="minorHAnsi"/>
          <w:color w:val="auto"/>
        </w:rPr>
        <w:t>t</w:t>
      </w:r>
      <w:r w:rsidRPr="00031B6C">
        <w:rPr>
          <w:rFonts w:asciiTheme="minorHAnsi" w:hAnsiTheme="minorHAnsi" w:cstheme="minorHAnsi"/>
          <w:color w:val="auto"/>
        </w:rPr>
        <w:t xml:space="preserve">ropical </w:t>
      </w:r>
      <w:r w:rsidR="00FC11B9">
        <w:rPr>
          <w:rFonts w:asciiTheme="minorHAnsi" w:hAnsiTheme="minorHAnsi" w:cstheme="minorHAnsi"/>
          <w:color w:val="auto"/>
        </w:rPr>
        <w:t>c</w:t>
      </w:r>
      <w:r w:rsidRPr="00031B6C">
        <w:rPr>
          <w:rFonts w:asciiTheme="minorHAnsi" w:hAnsiTheme="minorHAnsi" w:cstheme="minorHAnsi"/>
          <w:color w:val="auto"/>
        </w:rPr>
        <w:t xml:space="preserve">yclones. </w:t>
      </w:r>
    </w:p>
    <w:p w:rsidR="00E53B21" w:rsidRPr="00031B6C" w:rsidRDefault="00E53B21" w:rsidP="00E53B21">
      <w:pPr>
        <w:pStyle w:val="Default"/>
        <w:jc w:val="both"/>
        <w:rPr>
          <w:rFonts w:asciiTheme="minorHAnsi" w:hAnsiTheme="minorHAnsi" w:cstheme="minorHAnsi"/>
          <w:color w:val="auto"/>
        </w:rPr>
      </w:pPr>
    </w:p>
    <w:p w:rsidR="00E53B21" w:rsidRPr="00031B6C" w:rsidRDefault="00E53B21" w:rsidP="00E53B21">
      <w:pPr>
        <w:pStyle w:val="Default"/>
        <w:jc w:val="both"/>
        <w:rPr>
          <w:rFonts w:asciiTheme="minorHAnsi" w:hAnsiTheme="minorHAnsi" w:cstheme="minorHAnsi"/>
          <w:color w:val="auto"/>
        </w:rPr>
      </w:pPr>
      <w:r w:rsidRPr="00031B6C">
        <w:rPr>
          <w:rFonts w:asciiTheme="minorHAnsi" w:hAnsiTheme="minorHAnsi" w:cstheme="minorHAnsi"/>
          <w:color w:val="auto"/>
        </w:rPr>
        <w:t>The HDSS can deploy 90 sondes per flight and has 4 antenna mounted on the aircraft for commu</w:t>
      </w:r>
      <w:r w:rsidR="000E1A6D" w:rsidRPr="00031B6C">
        <w:rPr>
          <w:rFonts w:asciiTheme="minorHAnsi" w:hAnsiTheme="minorHAnsi" w:cstheme="minorHAnsi"/>
          <w:color w:val="auto"/>
        </w:rPr>
        <w:t>nication to the aircraft. Satellite communication</w:t>
      </w:r>
      <w:r w:rsidRPr="00031B6C">
        <w:rPr>
          <w:rFonts w:asciiTheme="minorHAnsi" w:hAnsiTheme="minorHAnsi" w:cstheme="minorHAnsi"/>
          <w:color w:val="auto"/>
        </w:rPr>
        <w:t xml:space="preserve"> links to ground teams to control the HDSS payload and retrieve sounding data. The </w:t>
      </w:r>
      <w:r w:rsidR="000E1A6D" w:rsidRPr="00031B6C">
        <w:rPr>
          <w:rFonts w:asciiTheme="minorHAnsi" w:hAnsiTheme="minorHAnsi" w:cstheme="minorHAnsi"/>
          <w:color w:val="auto"/>
        </w:rPr>
        <w:t>data will then be presented in q</w:t>
      </w:r>
      <w:r w:rsidR="00CA4BF7" w:rsidRPr="00031B6C">
        <w:rPr>
          <w:rFonts w:asciiTheme="minorHAnsi" w:hAnsiTheme="minorHAnsi" w:cstheme="minorHAnsi"/>
          <w:color w:val="auto"/>
        </w:rPr>
        <w:t>uick</w:t>
      </w:r>
      <w:r w:rsidR="000E1A6D" w:rsidRPr="00031B6C">
        <w:rPr>
          <w:rFonts w:asciiTheme="minorHAnsi" w:hAnsiTheme="minorHAnsi" w:cstheme="minorHAnsi"/>
          <w:color w:val="auto"/>
        </w:rPr>
        <w:t>-</w:t>
      </w:r>
      <w:r w:rsidR="00CA4BF7" w:rsidRPr="00031B6C">
        <w:rPr>
          <w:rFonts w:asciiTheme="minorHAnsi" w:hAnsiTheme="minorHAnsi" w:cstheme="minorHAnsi"/>
          <w:color w:val="auto"/>
        </w:rPr>
        <w:t xml:space="preserve">look Skew-T format and will be </w:t>
      </w:r>
      <w:r w:rsidRPr="00031B6C">
        <w:rPr>
          <w:rFonts w:asciiTheme="minorHAnsi" w:hAnsiTheme="minorHAnsi" w:cstheme="minorHAnsi"/>
          <w:color w:val="auto"/>
        </w:rPr>
        <w:t>post-processed once the aircraft lands.  There are approximately</w:t>
      </w:r>
      <w:r w:rsidR="00CA4BF7" w:rsidRPr="00031B6C">
        <w:rPr>
          <w:rFonts w:asciiTheme="minorHAnsi" w:hAnsiTheme="minorHAnsi" w:cstheme="minorHAnsi"/>
          <w:color w:val="auto"/>
        </w:rPr>
        <w:t xml:space="preserve"> </w:t>
      </w:r>
      <w:r w:rsidRPr="00031B6C">
        <w:rPr>
          <w:rFonts w:asciiTheme="minorHAnsi" w:hAnsiTheme="minorHAnsi" w:cstheme="minorHAnsi"/>
          <w:color w:val="auto"/>
        </w:rPr>
        <w:t xml:space="preserve">1000 </w:t>
      </w:r>
      <w:proofErr w:type="spellStart"/>
      <w:r w:rsidRPr="00031B6C">
        <w:rPr>
          <w:rFonts w:asciiTheme="minorHAnsi" w:hAnsiTheme="minorHAnsi" w:cstheme="minorHAnsi"/>
          <w:color w:val="auto"/>
        </w:rPr>
        <w:t>sondes</w:t>
      </w:r>
      <w:proofErr w:type="spellEnd"/>
      <w:r w:rsidRPr="00031B6C">
        <w:rPr>
          <w:rFonts w:asciiTheme="minorHAnsi" w:hAnsiTheme="minorHAnsi" w:cstheme="minorHAnsi"/>
          <w:color w:val="auto"/>
        </w:rPr>
        <w:t xml:space="preserve"> available for use during TCI. </w:t>
      </w:r>
      <w:bookmarkStart w:id="0" w:name="_GoBack"/>
      <w:bookmarkEnd w:id="0"/>
      <w:r w:rsidRPr="00031B6C">
        <w:rPr>
          <w:rFonts w:asciiTheme="minorHAnsi" w:hAnsiTheme="minorHAnsi" w:cstheme="minorHAnsi"/>
          <w:color w:val="auto"/>
        </w:rPr>
        <w:t xml:space="preserve">Additionally, Dual High Definition (HD) Airborne Cloud Imager (ACI) cameras are mounted forward and aft to capture XDDs leaving the drop tubes and record daytime clouds. </w:t>
      </w:r>
    </w:p>
    <w:p w:rsidR="00CA4BF7" w:rsidRPr="00031B6C" w:rsidRDefault="00CA4BF7" w:rsidP="00E53B21">
      <w:pPr>
        <w:pStyle w:val="Default"/>
        <w:jc w:val="both"/>
        <w:rPr>
          <w:rFonts w:asciiTheme="minorHAnsi" w:hAnsiTheme="minorHAnsi" w:cstheme="minorHAnsi"/>
          <w:color w:val="auto"/>
        </w:rPr>
      </w:pPr>
    </w:p>
    <w:p w:rsidR="007B109E" w:rsidRPr="00031B6C" w:rsidRDefault="00E53B21" w:rsidP="00E53B21">
      <w:pPr>
        <w:pStyle w:val="Default"/>
        <w:jc w:val="both"/>
        <w:rPr>
          <w:rFonts w:asciiTheme="minorHAnsi" w:hAnsiTheme="minorHAnsi" w:cstheme="minorHAnsi"/>
          <w:color w:val="auto"/>
          <w:highlight w:val="yellow"/>
        </w:rPr>
      </w:pPr>
      <w:r w:rsidRPr="00031B6C">
        <w:rPr>
          <w:rFonts w:asciiTheme="minorHAnsi" w:hAnsiTheme="minorHAnsi" w:cstheme="minorHAnsi"/>
          <w:color w:val="auto"/>
        </w:rPr>
        <w:t xml:space="preserve">HIRAD is an airborne C-band passive microwave radiometer designed to retrieve ocean surface wind speeds in hurricanes. Its view of a wide swath (~50-75 km wide, when flown on high-altitude aircraft around 60,000 feet) enables mapping of the hurricane’s wind field. Wind </w:t>
      </w:r>
      <w:r w:rsidRPr="00031B6C">
        <w:rPr>
          <w:rFonts w:asciiTheme="minorHAnsi" w:hAnsiTheme="minorHAnsi" w:cstheme="minorHAnsi"/>
          <w:color w:val="auto"/>
        </w:rPr>
        <w:lastRenderedPageBreak/>
        <w:t xml:space="preserve">speeds can be retrieved over </w:t>
      </w:r>
      <w:r w:rsidR="000E1A6D" w:rsidRPr="00031B6C">
        <w:rPr>
          <w:rFonts w:asciiTheme="minorHAnsi" w:hAnsiTheme="minorHAnsi" w:cstheme="minorHAnsi"/>
          <w:color w:val="auto"/>
        </w:rPr>
        <w:t>a range from approximately 15 m/</w:t>
      </w:r>
      <w:r w:rsidRPr="00031B6C">
        <w:rPr>
          <w:rFonts w:asciiTheme="minorHAnsi" w:hAnsiTheme="minorHAnsi" w:cstheme="minorHAnsi"/>
          <w:color w:val="auto"/>
        </w:rPr>
        <w:t>s</w:t>
      </w:r>
      <w:r w:rsidR="000E1A6D" w:rsidRPr="00031B6C">
        <w:rPr>
          <w:rFonts w:asciiTheme="minorHAnsi" w:hAnsiTheme="minorHAnsi" w:cstheme="minorHAnsi"/>
          <w:color w:val="auto"/>
        </w:rPr>
        <w:t xml:space="preserve"> to greater than 70 m/s</w:t>
      </w:r>
      <w:r w:rsidRPr="00031B6C">
        <w:rPr>
          <w:rFonts w:asciiTheme="minorHAnsi" w:hAnsiTheme="minorHAnsi" w:cstheme="minorHAnsi"/>
          <w:color w:val="auto"/>
        </w:rPr>
        <w:t>.  That is, HIRAD is appropriate for mapping the surface wind speed in tropical storms and hurricanes, up through category five.</w:t>
      </w:r>
    </w:p>
    <w:p w:rsidR="00E53B21" w:rsidRPr="00031B6C" w:rsidRDefault="00E53B21" w:rsidP="00510888">
      <w:pPr>
        <w:pStyle w:val="Default"/>
        <w:jc w:val="both"/>
        <w:rPr>
          <w:rFonts w:asciiTheme="minorHAnsi" w:hAnsiTheme="minorHAnsi" w:cstheme="minorHAnsi"/>
          <w:color w:val="auto"/>
          <w:highlight w:val="yellow"/>
        </w:rPr>
      </w:pPr>
    </w:p>
    <w:p w:rsidR="000E1A6D" w:rsidRPr="00031B6C" w:rsidRDefault="000E1A6D" w:rsidP="00510888">
      <w:pPr>
        <w:pStyle w:val="Default"/>
        <w:jc w:val="both"/>
        <w:rPr>
          <w:rFonts w:asciiTheme="minorHAnsi" w:hAnsiTheme="minorHAnsi" w:cstheme="minorHAnsi"/>
          <w:color w:val="auto"/>
          <w:highlight w:val="yellow"/>
        </w:rPr>
      </w:pPr>
    </w:p>
    <w:p w:rsidR="000E1A6D" w:rsidRPr="00031B6C" w:rsidRDefault="000E1A6D" w:rsidP="00510888">
      <w:pPr>
        <w:pStyle w:val="Default"/>
        <w:jc w:val="both"/>
        <w:rPr>
          <w:rFonts w:asciiTheme="minorHAnsi" w:hAnsiTheme="minorHAnsi" w:cstheme="minorHAnsi"/>
          <w:color w:val="auto"/>
          <w:highlight w:val="yellow"/>
        </w:rPr>
      </w:pPr>
    </w:p>
    <w:p w:rsidR="007B109E" w:rsidRPr="00031B6C" w:rsidRDefault="007B109E" w:rsidP="00510888">
      <w:pPr>
        <w:pStyle w:val="Default"/>
        <w:jc w:val="both"/>
        <w:rPr>
          <w:rFonts w:asciiTheme="minorHAnsi" w:hAnsiTheme="minorHAnsi" w:cstheme="minorHAnsi"/>
          <w:b/>
          <w:color w:val="auto"/>
        </w:rPr>
      </w:pPr>
      <w:r w:rsidRPr="00031B6C">
        <w:rPr>
          <w:rFonts w:asciiTheme="minorHAnsi" w:hAnsiTheme="minorHAnsi" w:cstheme="minorHAnsi"/>
          <w:b/>
          <w:color w:val="auto"/>
        </w:rPr>
        <w:t>References</w:t>
      </w:r>
    </w:p>
    <w:p w:rsidR="000E1A6D" w:rsidRPr="00031B6C" w:rsidRDefault="000E1A6D" w:rsidP="00510888">
      <w:pPr>
        <w:pStyle w:val="Default"/>
        <w:jc w:val="both"/>
        <w:rPr>
          <w:rFonts w:asciiTheme="minorHAnsi" w:hAnsiTheme="minorHAnsi" w:cstheme="minorHAnsi"/>
          <w:color w:val="auto"/>
          <w:highlight w:val="yellow"/>
        </w:rPr>
      </w:pP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r w:rsidRPr="00031B6C">
        <w:rPr>
          <w:rFonts w:eastAsia="SimSun" w:cstheme="minorHAnsi"/>
          <w:sz w:val="24"/>
          <w:szCs w:val="24"/>
          <w:lang w:val="en" w:eastAsia="zh-CN"/>
        </w:rPr>
        <w:t xml:space="preserve">Flatau, M., and D. E. Stevens, 1993: The role of outflow-layer instabilities in tropical cyclone motion.  </w:t>
      </w:r>
      <w:r w:rsidRPr="00031B6C">
        <w:rPr>
          <w:rFonts w:eastAsia="SimSun" w:cstheme="minorHAnsi"/>
          <w:i/>
          <w:sz w:val="24"/>
          <w:szCs w:val="24"/>
          <w:lang w:val="en" w:eastAsia="zh-CN"/>
        </w:rPr>
        <w:t>J. Atmos. Sci</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50</w:t>
      </w:r>
      <w:r w:rsidRPr="00031B6C">
        <w:rPr>
          <w:rFonts w:eastAsia="SimSun" w:cstheme="minorHAnsi"/>
          <w:sz w:val="24"/>
          <w:szCs w:val="24"/>
          <w:lang w:val="en" w:eastAsia="zh-CN"/>
        </w:rPr>
        <w:t>, 1721-1733.</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r w:rsidRPr="00031B6C">
        <w:rPr>
          <w:rFonts w:eastAsia="SimSun" w:cstheme="minorHAnsi"/>
          <w:sz w:val="24"/>
          <w:szCs w:val="24"/>
          <w:lang w:val="en" w:eastAsia="zh-CN"/>
        </w:rPr>
        <w:t xml:space="preserve">Holland, G. J., and R. T. Merrill, 1984: On the dynamics of tropical cyclone structural changes.  </w:t>
      </w:r>
      <w:proofErr w:type="gramStart"/>
      <w:r w:rsidRPr="00031B6C">
        <w:rPr>
          <w:rFonts w:eastAsia="SimSun" w:cstheme="minorHAnsi"/>
          <w:i/>
          <w:sz w:val="24"/>
          <w:szCs w:val="24"/>
          <w:lang w:val="en" w:eastAsia="zh-CN"/>
        </w:rPr>
        <w:t>Quart.</w:t>
      </w:r>
      <w:proofErr w:type="gramEnd"/>
      <w:r w:rsidRPr="00031B6C">
        <w:rPr>
          <w:rFonts w:eastAsia="SimSun" w:cstheme="minorHAnsi"/>
          <w:i/>
          <w:sz w:val="24"/>
          <w:szCs w:val="24"/>
          <w:lang w:val="en" w:eastAsia="zh-CN"/>
        </w:rPr>
        <w:t xml:space="preserve"> J. Roy. </w:t>
      </w:r>
      <w:proofErr w:type="gramStart"/>
      <w:r w:rsidRPr="00031B6C">
        <w:rPr>
          <w:rFonts w:eastAsia="SimSun" w:cstheme="minorHAnsi"/>
          <w:i/>
          <w:sz w:val="24"/>
          <w:szCs w:val="24"/>
          <w:lang w:val="en" w:eastAsia="zh-CN"/>
        </w:rPr>
        <w:t>Meteor.</w:t>
      </w:r>
      <w:proofErr w:type="gramEnd"/>
      <w:r w:rsidRPr="00031B6C">
        <w:rPr>
          <w:rFonts w:eastAsia="SimSun" w:cstheme="minorHAnsi"/>
          <w:i/>
          <w:sz w:val="24"/>
          <w:szCs w:val="24"/>
          <w:lang w:val="en" w:eastAsia="zh-CN"/>
        </w:rPr>
        <w:t xml:space="preserve"> Soc</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110</w:t>
      </w:r>
      <w:r w:rsidRPr="00031B6C">
        <w:rPr>
          <w:rFonts w:eastAsia="SimSun" w:cstheme="minorHAnsi"/>
          <w:sz w:val="24"/>
          <w:szCs w:val="24"/>
          <w:lang w:val="en" w:eastAsia="zh-CN"/>
        </w:rPr>
        <w:t>, 723-745.</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r w:rsidRPr="00031B6C">
        <w:rPr>
          <w:rFonts w:eastAsia="SimSun" w:cstheme="minorHAnsi"/>
          <w:sz w:val="24"/>
          <w:szCs w:val="24"/>
          <w:lang w:val="en" w:eastAsia="zh-CN"/>
        </w:rPr>
        <w:t xml:space="preserve">Merrill, R. T., 1988: Environmental influences on hurricane intensification. </w:t>
      </w:r>
      <w:r w:rsidRPr="00031B6C">
        <w:rPr>
          <w:rFonts w:eastAsia="SimSun" w:cstheme="minorHAnsi"/>
          <w:i/>
          <w:sz w:val="24"/>
          <w:szCs w:val="24"/>
          <w:lang w:val="en" w:eastAsia="zh-CN"/>
        </w:rPr>
        <w:t>J. Atmos. Sci</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45</w:t>
      </w:r>
      <w:r w:rsidRPr="00031B6C">
        <w:rPr>
          <w:rFonts w:eastAsia="SimSun" w:cstheme="minorHAnsi"/>
          <w:sz w:val="24"/>
          <w:szCs w:val="24"/>
          <w:lang w:val="en" w:eastAsia="zh-CN"/>
        </w:rPr>
        <w:t>, 1678–1687.</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r w:rsidRPr="00031B6C">
        <w:rPr>
          <w:rFonts w:eastAsia="SimSun" w:cstheme="minorHAnsi"/>
          <w:sz w:val="24"/>
          <w:szCs w:val="24"/>
          <w:lang w:val="en" w:eastAsia="zh-CN"/>
        </w:rPr>
        <w:t xml:space="preserve">Merrill, R. T., 1989: Characteristics of the upper-tropospheric environmental flow around hurricanes.  </w:t>
      </w:r>
      <w:r w:rsidRPr="00031B6C">
        <w:rPr>
          <w:rFonts w:eastAsia="SimSun" w:cstheme="minorHAnsi"/>
          <w:i/>
          <w:sz w:val="24"/>
          <w:szCs w:val="24"/>
          <w:lang w:val="en" w:eastAsia="zh-CN"/>
        </w:rPr>
        <w:t>J. Atmos. Sc</w:t>
      </w:r>
      <w:r w:rsidRPr="00031B6C">
        <w:rPr>
          <w:rFonts w:eastAsia="SimSun" w:cstheme="minorHAnsi"/>
          <w:sz w:val="24"/>
          <w:szCs w:val="24"/>
          <w:lang w:val="en" w:eastAsia="zh-CN"/>
        </w:rPr>
        <w:t xml:space="preserve">i., </w:t>
      </w:r>
      <w:r w:rsidRPr="00031B6C">
        <w:rPr>
          <w:rFonts w:eastAsia="SimSun" w:cstheme="minorHAnsi"/>
          <w:b/>
          <w:sz w:val="24"/>
          <w:szCs w:val="24"/>
          <w:lang w:val="en" w:eastAsia="zh-CN"/>
        </w:rPr>
        <w:t>45</w:t>
      </w:r>
      <w:proofErr w:type="gramStart"/>
      <w:r w:rsidRPr="00031B6C">
        <w:rPr>
          <w:rFonts w:eastAsia="SimSun" w:cstheme="minorHAnsi"/>
          <w:sz w:val="24"/>
          <w:szCs w:val="24"/>
          <w:lang w:val="en" w:eastAsia="zh-CN"/>
        </w:rPr>
        <w:t>,  1665</w:t>
      </w:r>
      <w:proofErr w:type="gramEnd"/>
      <w:r w:rsidRPr="00031B6C">
        <w:rPr>
          <w:rFonts w:eastAsia="SimSun" w:cstheme="minorHAnsi"/>
          <w:sz w:val="24"/>
          <w:szCs w:val="24"/>
          <w:lang w:val="en" w:eastAsia="zh-CN"/>
        </w:rPr>
        <w:t>-1677.</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r w:rsidRPr="00031B6C">
        <w:rPr>
          <w:rFonts w:eastAsia="SimSun" w:cstheme="minorHAnsi"/>
          <w:sz w:val="24"/>
          <w:szCs w:val="24"/>
          <w:lang w:val="en" w:eastAsia="zh-CN"/>
        </w:rPr>
        <w:t xml:space="preserve">Molinari, J., and D. </w:t>
      </w:r>
      <w:proofErr w:type="spellStart"/>
      <w:r w:rsidRPr="00031B6C">
        <w:rPr>
          <w:rFonts w:eastAsia="SimSun" w:cstheme="minorHAnsi"/>
          <w:sz w:val="24"/>
          <w:szCs w:val="24"/>
          <w:lang w:val="en" w:eastAsia="zh-CN"/>
        </w:rPr>
        <w:t>Vollaro</w:t>
      </w:r>
      <w:proofErr w:type="spellEnd"/>
      <w:r w:rsidRPr="00031B6C">
        <w:rPr>
          <w:rFonts w:eastAsia="SimSun" w:cstheme="minorHAnsi"/>
          <w:sz w:val="24"/>
          <w:szCs w:val="24"/>
          <w:lang w:val="en" w:eastAsia="zh-CN"/>
        </w:rPr>
        <w:t xml:space="preserve">, 1989: External influences on hurricane intensity. Part I: Outflow layer eddy angular momentum fluxes. </w:t>
      </w:r>
      <w:r w:rsidRPr="00031B6C">
        <w:rPr>
          <w:rFonts w:eastAsia="SimSun" w:cstheme="minorHAnsi"/>
          <w:i/>
          <w:sz w:val="24"/>
          <w:szCs w:val="24"/>
          <w:lang w:val="en" w:eastAsia="zh-CN"/>
        </w:rPr>
        <w:t>J. Atmos. Sci</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46</w:t>
      </w:r>
      <w:r w:rsidRPr="00031B6C">
        <w:rPr>
          <w:rFonts w:eastAsia="SimSun" w:cstheme="minorHAnsi"/>
          <w:sz w:val="24"/>
          <w:szCs w:val="24"/>
          <w:lang w:val="en" w:eastAsia="zh-CN"/>
        </w:rPr>
        <w:t>, 1093–1105.</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proofErr w:type="spellStart"/>
      <w:r w:rsidRPr="00031B6C">
        <w:rPr>
          <w:rFonts w:eastAsia="SimSun" w:cstheme="minorHAnsi"/>
          <w:sz w:val="24"/>
          <w:szCs w:val="24"/>
          <w:lang w:val="en" w:eastAsia="zh-CN"/>
        </w:rPr>
        <w:t>Nong</w:t>
      </w:r>
      <w:proofErr w:type="spellEnd"/>
      <w:r w:rsidRPr="00031B6C">
        <w:rPr>
          <w:rFonts w:eastAsia="SimSun" w:cstheme="minorHAnsi"/>
          <w:sz w:val="24"/>
          <w:szCs w:val="24"/>
          <w:lang w:val="en" w:eastAsia="zh-CN"/>
        </w:rPr>
        <w:t xml:space="preserve">, S. and K. A. Emanuel, 2003: A numerical study of the genesis of concentric eyewalls in hurricanes. </w:t>
      </w:r>
      <w:r w:rsidRPr="00031B6C">
        <w:rPr>
          <w:rFonts w:eastAsia="SimSun" w:cstheme="minorHAnsi"/>
          <w:i/>
          <w:sz w:val="24"/>
          <w:szCs w:val="24"/>
          <w:lang w:val="en" w:eastAsia="zh-CN"/>
        </w:rPr>
        <w:t xml:space="preserve">Q. J. R. </w:t>
      </w:r>
      <w:proofErr w:type="spellStart"/>
      <w:r w:rsidRPr="00031B6C">
        <w:rPr>
          <w:rFonts w:eastAsia="SimSun" w:cstheme="minorHAnsi"/>
          <w:i/>
          <w:sz w:val="24"/>
          <w:szCs w:val="24"/>
          <w:lang w:val="en" w:eastAsia="zh-CN"/>
        </w:rPr>
        <w:t>Meteorol</w:t>
      </w:r>
      <w:proofErr w:type="spellEnd"/>
      <w:r w:rsidRPr="00031B6C">
        <w:rPr>
          <w:rFonts w:eastAsia="SimSun" w:cstheme="minorHAnsi"/>
          <w:i/>
          <w:sz w:val="24"/>
          <w:szCs w:val="24"/>
          <w:lang w:val="en" w:eastAsia="zh-CN"/>
        </w:rPr>
        <w:t>. Soc</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129</w:t>
      </w:r>
      <w:r w:rsidRPr="00031B6C">
        <w:rPr>
          <w:rFonts w:eastAsia="SimSun" w:cstheme="minorHAnsi"/>
          <w:sz w:val="24"/>
          <w:szCs w:val="24"/>
          <w:lang w:val="en" w:eastAsia="zh-CN"/>
        </w:rPr>
        <w:t>, 3323–3338.</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proofErr w:type="spellStart"/>
      <w:r w:rsidRPr="00031B6C">
        <w:rPr>
          <w:rFonts w:eastAsia="SimSun" w:cstheme="minorHAnsi"/>
          <w:sz w:val="24"/>
          <w:szCs w:val="24"/>
          <w:lang w:val="en" w:eastAsia="zh-CN"/>
        </w:rPr>
        <w:t>Rappin</w:t>
      </w:r>
      <w:proofErr w:type="spellEnd"/>
      <w:r w:rsidRPr="00031B6C">
        <w:rPr>
          <w:rFonts w:eastAsia="SimSun" w:cstheme="minorHAnsi"/>
          <w:sz w:val="24"/>
          <w:szCs w:val="24"/>
          <w:lang w:val="en" w:eastAsia="zh-CN"/>
        </w:rPr>
        <w:t xml:space="preserve">, E. D., M. C. Morgan, and G. J. Tripoli, 2011: The impact of outflow environment on tropical cyclone intensification and structure. </w:t>
      </w:r>
      <w:r w:rsidRPr="00031B6C">
        <w:rPr>
          <w:rFonts w:eastAsia="SimSun" w:cstheme="minorHAnsi"/>
          <w:i/>
          <w:sz w:val="24"/>
          <w:szCs w:val="24"/>
          <w:lang w:val="en" w:eastAsia="zh-CN"/>
        </w:rPr>
        <w:t>J. Atmos. Sci</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68</w:t>
      </w:r>
      <w:r w:rsidRPr="00031B6C">
        <w:rPr>
          <w:rFonts w:eastAsia="SimSun" w:cstheme="minorHAnsi"/>
          <w:sz w:val="24"/>
          <w:szCs w:val="24"/>
          <w:lang w:val="en" w:eastAsia="zh-CN"/>
        </w:rPr>
        <w:t>, 177-194.</w:t>
      </w:r>
    </w:p>
    <w:p w:rsidR="005B1B24" w:rsidRPr="00031B6C" w:rsidRDefault="005B1B24" w:rsidP="005B1B24">
      <w:pPr>
        <w:autoSpaceDE w:val="0"/>
        <w:autoSpaceDN w:val="0"/>
        <w:adjustRightInd w:val="0"/>
        <w:spacing w:after="0" w:line="240" w:lineRule="auto"/>
        <w:ind w:left="600" w:hanging="600"/>
        <w:jc w:val="both"/>
        <w:rPr>
          <w:rFonts w:eastAsia="SimSun" w:cstheme="minorHAnsi"/>
          <w:sz w:val="24"/>
          <w:szCs w:val="24"/>
          <w:lang w:val="en" w:eastAsia="zh-CN"/>
        </w:rPr>
      </w:pPr>
      <w:proofErr w:type="gramStart"/>
      <w:r w:rsidRPr="00031B6C">
        <w:rPr>
          <w:rFonts w:eastAsia="SimSun" w:cstheme="minorHAnsi"/>
          <w:sz w:val="24"/>
          <w:szCs w:val="24"/>
          <w:lang w:val="en" w:eastAsia="zh-CN"/>
        </w:rPr>
        <w:t>Sang.,</w:t>
      </w:r>
      <w:proofErr w:type="gramEnd"/>
      <w:r w:rsidRPr="00031B6C">
        <w:rPr>
          <w:rFonts w:eastAsia="SimSun" w:cstheme="minorHAnsi"/>
          <w:sz w:val="24"/>
          <w:szCs w:val="24"/>
          <w:lang w:val="en" w:eastAsia="zh-CN"/>
        </w:rPr>
        <w:t xml:space="preserve"> N. V., R. K. Smith, and M. T. Montgomery, 2008: Tropical-cyclone intensification and predictability in three dimensions.  </w:t>
      </w:r>
      <w:proofErr w:type="gramStart"/>
      <w:r w:rsidRPr="00031B6C">
        <w:rPr>
          <w:rFonts w:eastAsia="SimSun" w:cstheme="minorHAnsi"/>
          <w:i/>
          <w:sz w:val="24"/>
          <w:szCs w:val="24"/>
          <w:lang w:val="en" w:eastAsia="zh-CN"/>
        </w:rPr>
        <w:t>Quart.</w:t>
      </w:r>
      <w:proofErr w:type="gramEnd"/>
      <w:r w:rsidRPr="00031B6C">
        <w:rPr>
          <w:rFonts w:eastAsia="SimSun" w:cstheme="minorHAnsi"/>
          <w:i/>
          <w:sz w:val="24"/>
          <w:szCs w:val="24"/>
          <w:lang w:val="en" w:eastAsia="zh-CN"/>
        </w:rPr>
        <w:t xml:space="preserve"> J. Roy. </w:t>
      </w:r>
      <w:proofErr w:type="gramStart"/>
      <w:r w:rsidRPr="00031B6C">
        <w:rPr>
          <w:rFonts w:eastAsia="SimSun" w:cstheme="minorHAnsi"/>
          <w:i/>
          <w:sz w:val="24"/>
          <w:szCs w:val="24"/>
          <w:lang w:val="en" w:eastAsia="zh-CN"/>
        </w:rPr>
        <w:t>Meteor.</w:t>
      </w:r>
      <w:proofErr w:type="gramEnd"/>
      <w:r w:rsidRPr="00031B6C">
        <w:rPr>
          <w:rFonts w:eastAsia="SimSun" w:cstheme="minorHAnsi"/>
          <w:i/>
          <w:sz w:val="24"/>
          <w:szCs w:val="24"/>
          <w:lang w:val="en" w:eastAsia="zh-CN"/>
        </w:rPr>
        <w:t xml:space="preserve"> Soc</w:t>
      </w:r>
      <w:r w:rsidRPr="00031B6C">
        <w:rPr>
          <w:rFonts w:eastAsia="SimSun" w:cstheme="minorHAnsi"/>
          <w:sz w:val="24"/>
          <w:szCs w:val="24"/>
          <w:lang w:val="en" w:eastAsia="zh-CN"/>
        </w:rPr>
        <w:t xml:space="preserve">., </w:t>
      </w:r>
      <w:r w:rsidRPr="00031B6C">
        <w:rPr>
          <w:rFonts w:eastAsia="SimSun" w:cstheme="minorHAnsi"/>
          <w:b/>
          <w:sz w:val="24"/>
          <w:szCs w:val="24"/>
          <w:lang w:val="en" w:eastAsia="zh-CN"/>
        </w:rPr>
        <w:t>134</w:t>
      </w:r>
      <w:r w:rsidRPr="00031B6C">
        <w:rPr>
          <w:rFonts w:eastAsia="SimSun" w:cstheme="minorHAnsi"/>
          <w:sz w:val="24"/>
          <w:szCs w:val="24"/>
          <w:lang w:val="en" w:eastAsia="zh-CN"/>
        </w:rPr>
        <w:t>, 563-582.</w:t>
      </w:r>
    </w:p>
    <w:p w:rsidR="00510888" w:rsidRPr="00031B6C" w:rsidRDefault="00510888" w:rsidP="00510888">
      <w:pPr>
        <w:rPr>
          <w:rFonts w:cstheme="minorHAnsi"/>
          <w:sz w:val="24"/>
          <w:szCs w:val="24"/>
        </w:rPr>
      </w:pPr>
    </w:p>
    <w:sectPr w:rsidR="00510888" w:rsidRPr="0003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C30"/>
    <w:multiLevelType w:val="hybridMultilevel"/>
    <w:tmpl w:val="95E015E2"/>
    <w:lvl w:ilvl="0" w:tplc="EDBA96BC">
      <w:start w:val="1"/>
      <w:numFmt w:val="bullet"/>
      <w:lvlText w:val="•"/>
      <w:lvlJc w:val="left"/>
      <w:pPr>
        <w:tabs>
          <w:tab w:val="num" w:pos="720"/>
        </w:tabs>
        <w:ind w:left="720" w:hanging="360"/>
      </w:pPr>
      <w:rPr>
        <w:rFonts w:ascii="Arial" w:hAnsi="Arial" w:hint="default"/>
      </w:rPr>
    </w:lvl>
    <w:lvl w:ilvl="1" w:tplc="1F5E9DBE" w:tentative="1">
      <w:start w:val="1"/>
      <w:numFmt w:val="bullet"/>
      <w:lvlText w:val="•"/>
      <w:lvlJc w:val="left"/>
      <w:pPr>
        <w:tabs>
          <w:tab w:val="num" w:pos="1440"/>
        </w:tabs>
        <w:ind w:left="1440" w:hanging="360"/>
      </w:pPr>
      <w:rPr>
        <w:rFonts w:ascii="Arial" w:hAnsi="Arial" w:hint="default"/>
      </w:rPr>
    </w:lvl>
    <w:lvl w:ilvl="2" w:tplc="2C50613E" w:tentative="1">
      <w:start w:val="1"/>
      <w:numFmt w:val="bullet"/>
      <w:lvlText w:val="•"/>
      <w:lvlJc w:val="left"/>
      <w:pPr>
        <w:tabs>
          <w:tab w:val="num" w:pos="2160"/>
        </w:tabs>
        <w:ind w:left="2160" w:hanging="360"/>
      </w:pPr>
      <w:rPr>
        <w:rFonts w:ascii="Arial" w:hAnsi="Arial" w:hint="default"/>
      </w:rPr>
    </w:lvl>
    <w:lvl w:ilvl="3" w:tplc="091CCCB4" w:tentative="1">
      <w:start w:val="1"/>
      <w:numFmt w:val="bullet"/>
      <w:lvlText w:val="•"/>
      <w:lvlJc w:val="left"/>
      <w:pPr>
        <w:tabs>
          <w:tab w:val="num" w:pos="2880"/>
        </w:tabs>
        <w:ind w:left="2880" w:hanging="360"/>
      </w:pPr>
      <w:rPr>
        <w:rFonts w:ascii="Arial" w:hAnsi="Arial" w:hint="default"/>
      </w:rPr>
    </w:lvl>
    <w:lvl w:ilvl="4" w:tplc="C564153E" w:tentative="1">
      <w:start w:val="1"/>
      <w:numFmt w:val="bullet"/>
      <w:lvlText w:val="•"/>
      <w:lvlJc w:val="left"/>
      <w:pPr>
        <w:tabs>
          <w:tab w:val="num" w:pos="3600"/>
        </w:tabs>
        <w:ind w:left="3600" w:hanging="360"/>
      </w:pPr>
      <w:rPr>
        <w:rFonts w:ascii="Arial" w:hAnsi="Arial" w:hint="default"/>
      </w:rPr>
    </w:lvl>
    <w:lvl w:ilvl="5" w:tplc="73840056" w:tentative="1">
      <w:start w:val="1"/>
      <w:numFmt w:val="bullet"/>
      <w:lvlText w:val="•"/>
      <w:lvlJc w:val="left"/>
      <w:pPr>
        <w:tabs>
          <w:tab w:val="num" w:pos="4320"/>
        </w:tabs>
        <w:ind w:left="4320" w:hanging="360"/>
      </w:pPr>
      <w:rPr>
        <w:rFonts w:ascii="Arial" w:hAnsi="Arial" w:hint="default"/>
      </w:rPr>
    </w:lvl>
    <w:lvl w:ilvl="6" w:tplc="24926EDC" w:tentative="1">
      <w:start w:val="1"/>
      <w:numFmt w:val="bullet"/>
      <w:lvlText w:val="•"/>
      <w:lvlJc w:val="left"/>
      <w:pPr>
        <w:tabs>
          <w:tab w:val="num" w:pos="5040"/>
        </w:tabs>
        <w:ind w:left="5040" w:hanging="360"/>
      </w:pPr>
      <w:rPr>
        <w:rFonts w:ascii="Arial" w:hAnsi="Arial" w:hint="default"/>
      </w:rPr>
    </w:lvl>
    <w:lvl w:ilvl="7" w:tplc="8A60E640" w:tentative="1">
      <w:start w:val="1"/>
      <w:numFmt w:val="bullet"/>
      <w:lvlText w:val="•"/>
      <w:lvlJc w:val="left"/>
      <w:pPr>
        <w:tabs>
          <w:tab w:val="num" w:pos="5760"/>
        </w:tabs>
        <w:ind w:left="5760" w:hanging="360"/>
      </w:pPr>
      <w:rPr>
        <w:rFonts w:ascii="Arial" w:hAnsi="Arial" w:hint="default"/>
      </w:rPr>
    </w:lvl>
    <w:lvl w:ilvl="8" w:tplc="A0DA753C" w:tentative="1">
      <w:start w:val="1"/>
      <w:numFmt w:val="bullet"/>
      <w:lvlText w:val="•"/>
      <w:lvlJc w:val="left"/>
      <w:pPr>
        <w:tabs>
          <w:tab w:val="num" w:pos="6480"/>
        </w:tabs>
        <w:ind w:left="6480" w:hanging="360"/>
      </w:pPr>
      <w:rPr>
        <w:rFonts w:ascii="Arial" w:hAnsi="Arial" w:hint="default"/>
      </w:rPr>
    </w:lvl>
  </w:abstractNum>
  <w:abstractNum w:abstractNumId="1">
    <w:nsid w:val="62A759F3"/>
    <w:multiLevelType w:val="hybridMultilevel"/>
    <w:tmpl w:val="FFAAC1EA"/>
    <w:lvl w:ilvl="0" w:tplc="D3FE7936">
      <w:start w:val="1"/>
      <w:numFmt w:val="bullet"/>
      <w:lvlText w:val="•"/>
      <w:lvlJc w:val="left"/>
      <w:pPr>
        <w:tabs>
          <w:tab w:val="num" w:pos="720"/>
        </w:tabs>
        <w:ind w:left="720" w:hanging="360"/>
      </w:pPr>
      <w:rPr>
        <w:rFonts w:ascii="Arial" w:hAnsi="Arial" w:hint="default"/>
      </w:rPr>
    </w:lvl>
    <w:lvl w:ilvl="1" w:tplc="7B5A91A4" w:tentative="1">
      <w:start w:val="1"/>
      <w:numFmt w:val="bullet"/>
      <w:lvlText w:val="•"/>
      <w:lvlJc w:val="left"/>
      <w:pPr>
        <w:tabs>
          <w:tab w:val="num" w:pos="1440"/>
        </w:tabs>
        <w:ind w:left="1440" w:hanging="360"/>
      </w:pPr>
      <w:rPr>
        <w:rFonts w:ascii="Arial" w:hAnsi="Arial" w:hint="default"/>
      </w:rPr>
    </w:lvl>
    <w:lvl w:ilvl="2" w:tplc="B3C87858" w:tentative="1">
      <w:start w:val="1"/>
      <w:numFmt w:val="bullet"/>
      <w:lvlText w:val="•"/>
      <w:lvlJc w:val="left"/>
      <w:pPr>
        <w:tabs>
          <w:tab w:val="num" w:pos="2160"/>
        </w:tabs>
        <w:ind w:left="2160" w:hanging="360"/>
      </w:pPr>
      <w:rPr>
        <w:rFonts w:ascii="Arial" w:hAnsi="Arial" w:hint="default"/>
      </w:rPr>
    </w:lvl>
    <w:lvl w:ilvl="3" w:tplc="3FB453F4" w:tentative="1">
      <w:start w:val="1"/>
      <w:numFmt w:val="bullet"/>
      <w:lvlText w:val="•"/>
      <w:lvlJc w:val="left"/>
      <w:pPr>
        <w:tabs>
          <w:tab w:val="num" w:pos="2880"/>
        </w:tabs>
        <w:ind w:left="2880" w:hanging="360"/>
      </w:pPr>
      <w:rPr>
        <w:rFonts w:ascii="Arial" w:hAnsi="Arial" w:hint="default"/>
      </w:rPr>
    </w:lvl>
    <w:lvl w:ilvl="4" w:tplc="183638F0" w:tentative="1">
      <w:start w:val="1"/>
      <w:numFmt w:val="bullet"/>
      <w:lvlText w:val="•"/>
      <w:lvlJc w:val="left"/>
      <w:pPr>
        <w:tabs>
          <w:tab w:val="num" w:pos="3600"/>
        </w:tabs>
        <w:ind w:left="3600" w:hanging="360"/>
      </w:pPr>
      <w:rPr>
        <w:rFonts w:ascii="Arial" w:hAnsi="Arial" w:hint="default"/>
      </w:rPr>
    </w:lvl>
    <w:lvl w:ilvl="5" w:tplc="E158AC84" w:tentative="1">
      <w:start w:val="1"/>
      <w:numFmt w:val="bullet"/>
      <w:lvlText w:val="•"/>
      <w:lvlJc w:val="left"/>
      <w:pPr>
        <w:tabs>
          <w:tab w:val="num" w:pos="4320"/>
        </w:tabs>
        <w:ind w:left="4320" w:hanging="360"/>
      </w:pPr>
      <w:rPr>
        <w:rFonts w:ascii="Arial" w:hAnsi="Arial" w:hint="default"/>
      </w:rPr>
    </w:lvl>
    <w:lvl w:ilvl="6" w:tplc="CFD47110" w:tentative="1">
      <w:start w:val="1"/>
      <w:numFmt w:val="bullet"/>
      <w:lvlText w:val="•"/>
      <w:lvlJc w:val="left"/>
      <w:pPr>
        <w:tabs>
          <w:tab w:val="num" w:pos="5040"/>
        </w:tabs>
        <w:ind w:left="5040" w:hanging="360"/>
      </w:pPr>
      <w:rPr>
        <w:rFonts w:ascii="Arial" w:hAnsi="Arial" w:hint="default"/>
      </w:rPr>
    </w:lvl>
    <w:lvl w:ilvl="7" w:tplc="01768A3C" w:tentative="1">
      <w:start w:val="1"/>
      <w:numFmt w:val="bullet"/>
      <w:lvlText w:val="•"/>
      <w:lvlJc w:val="left"/>
      <w:pPr>
        <w:tabs>
          <w:tab w:val="num" w:pos="5760"/>
        </w:tabs>
        <w:ind w:left="5760" w:hanging="360"/>
      </w:pPr>
      <w:rPr>
        <w:rFonts w:ascii="Arial" w:hAnsi="Arial" w:hint="default"/>
      </w:rPr>
    </w:lvl>
    <w:lvl w:ilvl="8" w:tplc="A6EC51B8" w:tentative="1">
      <w:start w:val="1"/>
      <w:numFmt w:val="bullet"/>
      <w:lvlText w:val="•"/>
      <w:lvlJc w:val="left"/>
      <w:pPr>
        <w:tabs>
          <w:tab w:val="num" w:pos="6480"/>
        </w:tabs>
        <w:ind w:left="6480" w:hanging="360"/>
      </w:pPr>
      <w:rPr>
        <w:rFonts w:ascii="Arial" w:hAnsi="Arial" w:hint="default"/>
      </w:rPr>
    </w:lvl>
  </w:abstractNum>
  <w:abstractNum w:abstractNumId="2">
    <w:nsid w:val="66326115"/>
    <w:multiLevelType w:val="hybridMultilevel"/>
    <w:tmpl w:val="57468070"/>
    <w:lvl w:ilvl="0" w:tplc="BAA4C3E2">
      <w:start w:val="1"/>
      <w:numFmt w:val="bullet"/>
      <w:lvlText w:val="•"/>
      <w:lvlJc w:val="left"/>
      <w:pPr>
        <w:tabs>
          <w:tab w:val="num" w:pos="720"/>
        </w:tabs>
        <w:ind w:left="720" w:hanging="360"/>
      </w:pPr>
      <w:rPr>
        <w:rFonts w:ascii="Arial" w:hAnsi="Arial" w:hint="default"/>
      </w:rPr>
    </w:lvl>
    <w:lvl w:ilvl="1" w:tplc="28162A24" w:tentative="1">
      <w:start w:val="1"/>
      <w:numFmt w:val="bullet"/>
      <w:lvlText w:val="•"/>
      <w:lvlJc w:val="left"/>
      <w:pPr>
        <w:tabs>
          <w:tab w:val="num" w:pos="1440"/>
        </w:tabs>
        <w:ind w:left="1440" w:hanging="360"/>
      </w:pPr>
      <w:rPr>
        <w:rFonts w:ascii="Arial" w:hAnsi="Arial" w:hint="default"/>
      </w:rPr>
    </w:lvl>
    <w:lvl w:ilvl="2" w:tplc="F6E8B85E" w:tentative="1">
      <w:start w:val="1"/>
      <w:numFmt w:val="bullet"/>
      <w:lvlText w:val="•"/>
      <w:lvlJc w:val="left"/>
      <w:pPr>
        <w:tabs>
          <w:tab w:val="num" w:pos="2160"/>
        </w:tabs>
        <w:ind w:left="2160" w:hanging="360"/>
      </w:pPr>
      <w:rPr>
        <w:rFonts w:ascii="Arial" w:hAnsi="Arial" w:hint="default"/>
      </w:rPr>
    </w:lvl>
    <w:lvl w:ilvl="3" w:tplc="A0FC77E8" w:tentative="1">
      <w:start w:val="1"/>
      <w:numFmt w:val="bullet"/>
      <w:lvlText w:val="•"/>
      <w:lvlJc w:val="left"/>
      <w:pPr>
        <w:tabs>
          <w:tab w:val="num" w:pos="2880"/>
        </w:tabs>
        <w:ind w:left="2880" w:hanging="360"/>
      </w:pPr>
      <w:rPr>
        <w:rFonts w:ascii="Arial" w:hAnsi="Arial" w:hint="default"/>
      </w:rPr>
    </w:lvl>
    <w:lvl w:ilvl="4" w:tplc="6F023A2C" w:tentative="1">
      <w:start w:val="1"/>
      <w:numFmt w:val="bullet"/>
      <w:lvlText w:val="•"/>
      <w:lvlJc w:val="left"/>
      <w:pPr>
        <w:tabs>
          <w:tab w:val="num" w:pos="3600"/>
        </w:tabs>
        <w:ind w:left="3600" w:hanging="360"/>
      </w:pPr>
      <w:rPr>
        <w:rFonts w:ascii="Arial" w:hAnsi="Arial" w:hint="default"/>
      </w:rPr>
    </w:lvl>
    <w:lvl w:ilvl="5" w:tplc="1308827A" w:tentative="1">
      <w:start w:val="1"/>
      <w:numFmt w:val="bullet"/>
      <w:lvlText w:val="•"/>
      <w:lvlJc w:val="left"/>
      <w:pPr>
        <w:tabs>
          <w:tab w:val="num" w:pos="4320"/>
        </w:tabs>
        <w:ind w:left="4320" w:hanging="360"/>
      </w:pPr>
      <w:rPr>
        <w:rFonts w:ascii="Arial" w:hAnsi="Arial" w:hint="default"/>
      </w:rPr>
    </w:lvl>
    <w:lvl w:ilvl="6" w:tplc="193E9F9A" w:tentative="1">
      <w:start w:val="1"/>
      <w:numFmt w:val="bullet"/>
      <w:lvlText w:val="•"/>
      <w:lvlJc w:val="left"/>
      <w:pPr>
        <w:tabs>
          <w:tab w:val="num" w:pos="5040"/>
        </w:tabs>
        <w:ind w:left="5040" w:hanging="360"/>
      </w:pPr>
      <w:rPr>
        <w:rFonts w:ascii="Arial" w:hAnsi="Arial" w:hint="default"/>
      </w:rPr>
    </w:lvl>
    <w:lvl w:ilvl="7" w:tplc="50702B9E" w:tentative="1">
      <w:start w:val="1"/>
      <w:numFmt w:val="bullet"/>
      <w:lvlText w:val="•"/>
      <w:lvlJc w:val="left"/>
      <w:pPr>
        <w:tabs>
          <w:tab w:val="num" w:pos="5760"/>
        </w:tabs>
        <w:ind w:left="5760" w:hanging="360"/>
      </w:pPr>
      <w:rPr>
        <w:rFonts w:ascii="Arial" w:hAnsi="Arial" w:hint="default"/>
      </w:rPr>
    </w:lvl>
    <w:lvl w:ilvl="8" w:tplc="D16A5562" w:tentative="1">
      <w:start w:val="1"/>
      <w:numFmt w:val="bullet"/>
      <w:lvlText w:val="•"/>
      <w:lvlJc w:val="left"/>
      <w:pPr>
        <w:tabs>
          <w:tab w:val="num" w:pos="6480"/>
        </w:tabs>
        <w:ind w:left="6480" w:hanging="360"/>
      </w:pPr>
      <w:rPr>
        <w:rFonts w:ascii="Arial" w:hAnsi="Arial" w:hint="default"/>
      </w:rPr>
    </w:lvl>
  </w:abstractNum>
  <w:abstractNum w:abstractNumId="3">
    <w:nsid w:val="7BA655FD"/>
    <w:multiLevelType w:val="hybridMultilevel"/>
    <w:tmpl w:val="F90A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93673"/>
    <w:multiLevelType w:val="hybridMultilevel"/>
    <w:tmpl w:val="3BE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88"/>
    <w:rsid w:val="00031B6C"/>
    <w:rsid w:val="000464FF"/>
    <w:rsid w:val="000E1A6D"/>
    <w:rsid w:val="001A265C"/>
    <w:rsid w:val="002B3F22"/>
    <w:rsid w:val="004B6429"/>
    <w:rsid w:val="00507744"/>
    <w:rsid w:val="00510888"/>
    <w:rsid w:val="005163A6"/>
    <w:rsid w:val="005B1B24"/>
    <w:rsid w:val="005D2FD8"/>
    <w:rsid w:val="005E5F1C"/>
    <w:rsid w:val="007719E1"/>
    <w:rsid w:val="007B109E"/>
    <w:rsid w:val="00815EEA"/>
    <w:rsid w:val="00905DFF"/>
    <w:rsid w:val="00A81B5A"/>
    <w:rsid w:val="00A944D4"/>
    <w:rsid w:val="00AA706C"/>
    <w:rsid w:val="00AB6E0A"/>
    <w:rsid w:val="00AF1517"/>
    <w:rsid w:val="00CA4BF7"/>
    <w:rsid w:val="00CB026F"/>
    <w:rsid w:val="00D161EA"/>
    <w:rsid w:val="00E53B21"/>
    <w:rsid w:val="00E751D9"/>
    <w:rsid w:val="00F77B0A"/>
    <w:rsid w:val="00F97F0E"/>
    <w:rsid w:val="00FC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88"/>
    <w:pPr>
      <w:ind w:left="720"/>
      <w:contextualSpacing/>
    </w:pPr>
  </w:style>
  <w:style w:type="paragraph" w:customStyle="1" w:styleId="Default">
    <w:name w:val="Default"/>
    <w:rsid w:val="0051088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1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88"/>
    <w:rPr>
      <w:rFonts w:ascii="Tahoma" w:hAnsi="Tahoma" w:cs="Tahoma"/>
      <w:sz w:val="16"/>
      <w:szCs w:val="16"/>
    </w:rPr>
  </w:style>
  <w:style w:type="character" w:styleId="CommentReference">
    <w:name w:val="annotation reference"/>
    <w:basedOn w:val="DefaultParagraphFont"/>
    <w:uiPriority w:val="99"/>
    <w:semiHidden/>
    <w:unhideWhenUsed/>
    <w:rsid w:val="00FC11B9"/>
    <w:rPr>
      <w:sz w:val="16"/>
      <w:szCs w:val="16"/>
    </w:rPr>
  </w:style>
  <w:style w:type="paragraph" w:styleId="CommentText">
    <w:name w:val="annotation text"/>
    <w:basedOn w:val="Normal"/>
    <w:link w:val="CommentTextChar"/>
    <w:uiPriority w:val="99"/>
    <w:semiHidden/>
    <w:unhideWhenUsed/>
    <w:rsid w:val="00FC11B9"/>
    <w:pPr>
      <w:spacing w:line="240" w:lineRule="auto"/>
    </w:pPr>
    <w:rPr>
      <w:sz w:val="20"/>
      <w:szCs w:val="20"/>
    </w:rPr>
  </w:style>
  <w:style w:type="character" w:customStyle="1" w:styleId="CommentTextChar">
    <w:name w:val="Comment Text Char"/>
    <w:basedOn w:val="DefaultParagraphFont"/>
    <w:link w:val="CommentText"/>
    <w:uiPriority w:val="99"/>
    <w:semiHidden/>
    <w:rsid w:val="00FC11B9"/>
    <w:rPr>
      <w:sz w:val="20"/>
      <w:szCs w:val="20"/>
    </w:rPr>
  </w:style>
  <w:style w:type="paragraph" w:styleId="CommentSubject">
    <w:name w:val="annotation subject"/>
    <w:basedOn w:val="CommentText"/>
    <w:next w:val="CommentText"/>
    <w:link w:val="CommentSubjectChar"/>
    <w:uiPriority w:val="99"/>
    <w:semiHidden/>
    <w:unhideWhenUsed/>
    <w:rsid w:val="00FC11B9"/>
    <w:rPr>
      <w:b/>
      <w:bCs/>
    </w:rPr>
  </w:style>
  <w:style w:type="character" w:customStyle="1" w:styleId="CommentSubjectChar">
    <w:name w:val="Comment Subject Char"/>
    <w:basedOn w:val="CommentTextChar"/>
    <w:link w:val="CommentSubject"/>
    <w:uiPriority w:val="99"/>
    <w:semiHidden/>
    <w:rsid w:val="00FC1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88"/>
    <w:pPr>
      <w:ind w:left="720"/>
      <w:contextualSpacing/>
    </w:pPr>
  </w:style>
  <w:style w:type="paragraph" w:customStyle="1" w:styleId="Default">
    <w:name w:val="Default"/>
    <w:rsid w:val="0051088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51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88"/>
    <w:rPr>
      <w:rFonts w:ascii="Tahoma" w:hAnsi="Tahoma" w:cs="Tahoma"/>
      <w:sz w:val="16"/>
      <w:szCs w:val="16"/>
    </w:rPr>
  </w:style>
  <w:style w:type="character" w:styleId="CommentReference">
    <w:name w:val="annotation reference"/>
    <w:basedOn w:val="DefaultParagraphFont"/>
    <w:uiPriority w:val="99"/>
    <w:semiHidden/>
    <w:unhideWhenUsed/>
    <w:rsid w:val="00FC11B9"/>
    <w:rPr>
      <w:sz w:val="16"/>
      <w:szCs w:val="16"/>
    </w:rPr>
  </w:style>
  <w:style w:type="paragraph" w:styleId="CommentText">
    <w:name w:val="annotation text"/>
    <w:basedOn w:val="Normal"/>
    <w:link w:val="CommentTextChar"/>
    <w:uiPriority w:val="99"/>
    <w:semiHidden/>
    <w:unhideWhenUsed/>
    <w:rsid w:val="00FC11B9"/>
    <w:pPr>
      <w:spacing w:line="240" w:lineRule="auto"/>
    </w:pPr>
    <w:rPr>
      <w:sz w:val="20"/>
      <w:szCs w:val="20"/>
    </w:rPr>
  </w:style>
  <w:style w:type="character" w:customStyle="1" w:styleId="CommentTextChar">
    <w:name w:val="Comment Text Char"/>
    <w:basedOn w:val="DefaultParagraphFont"/>
    <w:link w:val="CommentText"/>
    <w:uiPriority w:val="99"/>
    <w:semiHidden/>
    <w:rsid w:val="00FC11B9"/>
    <w:rPr>
      <w:sz w:val="20"/>
      <w:szCs w:val="20"/>
    </w:rPr>
  </w:style>
  <w:style w:type="paragraph" w:styleId="CommentSubject">
    <w:name w:val="annotation subject"/>
    <w:basedOn w:val="CommentText"/>
    <w:next w:val="CommentText"/>
    <w:link w:val="CommentSubjectChar"/>
    <w:uiPriority w:val="99"/>
    <w:semiHidden/>
    <w:unhideWhenUsed/>
    <w:rsid w:val="00FC11B9"/>
    <w:rPr>
      <w:b/>
      <w:bCs/>
    </w:rPr>
  </w:style>
  <w:style w:type="character" w:customStyle="1" w:styleId="CommentSubjectChar">
    <w:name w:val="Comment Subject Char"/>
    <w:basedOn w:val="CommentTextChar"/>
    <w:link w:val="CommentSubject"/>
    <w:uiPriority w:val="99"/>
    <w:semiHidden/>
    <w:rsid w:val="00FC1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619">
      <w:bodyDiv w:val="1"/>
      <w:marLeft w:val="0"/>
      <w:marRight w:val="0"/>
      <w:marTop w:val="0"/>
      <w:marBottom w:val="0"/>
      <w:divBdr>
        <w:top w:val="none" w:sz="0" w:space="0" w:color="auto"/>
        <w:left w:val="none" w:sz="0" w:space="0" w:color="auto"/>
        <w:bottom w:val="none" w:sz="0" w:space="0" w:color="auto"/>
        <w:right w:val="none" w:sz="0" w:space="0" w:color="auto"/>
      </w:divBdr>
      <w:divsChild>
        <w:div w:id="1683820512">
          <w:marLeft w:val="446"/>
          <w:marRight w:val="0"/>
          <w:marTop w:val="0"/>
          <w:marBottom w:val="0"/>
          <w:divBdr>
            <w:top w:val="none" w:sz="0" w:space="0" w:color="auto"/>
            <w:left w:val="none" w:sz="0" w:space="0" w:color="auto"/>
            <w:bottom w:val="none" w:sz="0" w:space="0" w:color="auto"/>
            <w:right w:val="none" w:sz="0" w:space="0" w:color="auto"/>
          </w:divBdr>
        </w:div>
      </w:divsChild>
    </w:div>
    <w:div w:id="218247067">
      <w:bodyDiv w:val="1"/>
      <w:marLeft w:val="0"/>
      <w:marRight w:val="0"/>
      <w:marTop w:val="0"/>
      <w:marBottom w:val="0"/>
      <w:divBdr>
        <w:top w:val="none" w:sz="0" w:space="0" w:color="auto"/>
        <w:left w:val="none" w:sz="0" w:space="0" w:color="auto"/>
        <w:bottom w:val="none" w:sz="0" w:space="0" w:color="auto"/>
        <w:right w:val="none" w:sz="0" w:space="0" w:color="auto"/>
      </w:divBdr>
      <w:divsChild>
        <w:div w:id="295794514">
          <w:marLeft w:val="446"/>
          <w:marRight w:val="0"/>
          <w:marTop w:val="0"/>
          <w:marBottom w:val="0"/>
          <w:divBdr>
            <w:top w:val="none" w:sz="0" w:space="0" w:color="auto"/>
            <w:left w:val="none" w:sz="0" w:space="0" w:color="auto"/>
            <w:bottom w:val="none" w:sz="0" w:space="0" w:color="auto"/>
            <w:right w:val="none" w:sz="0" w:space="0" w:color="auto"/>
          </w:divBdr>
        </w:div>
        <w:div w:id="1695378376">
          <w:marLeft w:val="446"/>
          <w:marRight w:val="0"/>
          <w:marTop w:val="0"/>
          <w:marBottom w:val="0"/>
          <w:divBdr>
            <w:top w:val="none" w:sz="0" w:space="0" w:color="auto"/>
            <w:left w:val="none" w:sz="0" w:space="0" w:color="auto"/>
            <w:bottom w:val="none" w:sz="0" w:space="0" w:color="auto"/>
            <w:right w:val="none" w:sz="0" w:space="0" w:color="auto"/>
          </w:divBdr>
        </w:div>
      </w:divsChild>
    </w:div>
    <w:div w:id="559755782">
      <w:bodyDiv w:val="1"/>
      <w:marLeft w:val="0"/>
      <w:marRight w:val="0"/>
      <w:marTop w:val="0"/>
      <w:marBottom w:val="0"/>
      <w:divBdr>
        <w:top w:val="none" w:sz="0" w:space="0" w:color="auto"/>
        <w:left w:val="none" w:sz="0" w:space="0" w:color="auto"/>
        <w:bottom w:val="none" w:sz="0" w:space="0" w:color="auto"/>
        <w:right w:val="none" w:sz="0" w:space="0" w:color="auto"/>
      </w:divBdr>
      <w:divsChild>
        <w:div w:id="1894734458">
          <w:marLeft w:val="446"/>
          <w:marRight w:val="0"/>
          <w:marTop w:val="0"/>
          <w:marBottom w:val="0"/>
          <w:divBdr>
            <w:top w:val="none" w:sz="0" w:space="0" w:color="auto"/>
            <w:left w:val="none" w:sz="0" w:space="0" w:color="auto"/>
            <w:bottom w:val="none" w:sz="0" w:space="0" w:color="auto"/>
            <w:right w:val="none" w:sz="0" w:space="0" w:color="auto"/>
          </w:divBdr>
        </w:div>
        <w:div w:id="1141341150">
          <w:marLeft w:val="446"/>
          <w:marRight w:val="0"/>
          <w:marTop w:val="0"/>
          <w:marBottom w:val="0"/>
          <w:divBdr>
            <w:top w:val="none" w:sz="0" w:space="0" w:color="auto"/>
            <w:left w:val="none" w:sz="0" w:space="0" w:color="auto"/>
            <w:bottom w:val="none" w:sz="0" w:space="0" w:color="auto"/>
            <w:right w:val="none" w:sz="0" w:space="0" w:color="auto"/>
          </w:divBdr>
        </w:div>
      </w:divsChild>
    </w:div>
    <w:div w:id="1282609866">
      <w:bodyDiv w:val="1"/>
      <w:marLeft w:val="0"/>
      <w:marRight w:val="0"/>
      <w:marTop w:val="0"/>
      <w:marBottom w:val="0"/>
      <w:divBdr>
        <w:top w:val="none" w:sz="0" w:space="0" w:color="auto"/>
        <w:left w:val="none" w:sz="0" w:space="0" w:color="auto"/>
        <w:bottom w:val="none" w:sz="0" w:space="0" w:color="auto"/>
        <w:right w:val="none" w:sz="0" w:space="0" w:color="auto"/>
      </w:divBdr>
      <w:divsChild>
        <w:div w:id="883587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Naval Research Laboratory</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Dr. James</dc:creator>
  <cp:lastModifiedBy>Laudier, Natalie A LCDR ONRA, 32</cp:lastModifiedBy>
  <cp:revision>2</cp:revision>
  <dcterms:created xsi:type="dcterms:W3CDTF">2015-07-06T19:10:00Z</dcterms:created>
  <dcterms:modified xsi:type="dcterms:W3CDTF">2015-07-06T19:10:00Z</dcterms:modified>
</cp:coreProperties>
</file>